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C4E03" w14:textId="28675262" w:rsidR="00A308A1" w:rsidRDefault="00A308A1" w:rsidP="00A308A1">
      <w:pPr>
        <w:pStyle w:val="Heading1"/>
        <w:spacing w:line="240" w:lineRule="atLeast"/>
        <w:ind w:right="-46" w:hanging="142"/>
        <w:rPr>
          <w:rFonts w:ascii="Tenorite" w:hAnsi="Tenorite"/>
          <w:color w:val="140A2C"/>
          <w:sz w:val="22"/>
          <w:szCs w:val="22"/>
        </w:rPr>
      </w:pPr>
      <w:r>
        <w:rPr>
          <w:rFonts w:ascii="Tenorite" w:hAnsi="Tenorite"/>
          <w:color w:val="140A2C"/>
          <w:sz w:val="22"/>
          <w:szCs w:val="22"/>
        </w:rPr>
        <w:t>BACKGROUND</w:t>
      </w:r>
    </w:p>
    <w:p w14:paraId="68C10CA3" w14:textId="77777777" w:rsidR="00A308A1" w:rsidRPr="00A308A1" w:rsidRDefault="00A308A1" w:rsidP="00A308A1"/>
    <w:p w14:paraId="27765684" w14:textId="645C88FD" w:rsidR="00F72C7B" w:rsidRDefault="00F72C7B" w:rsidP="00F72C7B">
      <w:pPr>
        <w:ind w:left="-142" w:right="-46"/>
        <w:rPr>
          <w:rFonts w:ascii="Tenorite" w:hAnsi="Tenorite"/>
          <w:color w:val="140A2C"/>
          <w:sz w:val="22"/>
          <w:szCs w:val="22"/>
        </w:rPr>
      </w:pPr>
      <w:r w:rsidRPr="00F72C7B">
        <w:rPr>
          <w:rFonts w:ascii="Tenorite" w:hAnsi="Tenorite"/>
          <w:color w:val="140A2C"/>
          <w:sz w:val="22"/>
          <w:szCs w:val="22"/>
        </w:rPr>
        <w:t>Personnel being struck by vehicles and plant cause on average ten fatal injuries and approximately 150 major injuries in the construction industry each year. Hence the control of risks associated with plant, passing through or working within our worksites is of paramount importance</w:t>
      </w:r>
      <w:r>
        <w:rPr>
          <w:rFonts w:ascii="Tenorite" w:hAnsi="Tenorite"/>
          <w:color w:val="140A2C"/>
          <w:sz w:val="22"/>
          <w:szCs w:val="22"/>
        </w:rPr>
        <w:t>.</w:t>
      </w:r>
    </w:p>
    <w:p w14:paraId="4D003BDC" w14:textId="77777777" w:rsidR="00F72C7B" w:rsidRPr="00F72C7B" w:rsidRDefault="00F72C7B" w:rsidP="00F72C7B">
      <w:pPr>
        <w:ind w:left="-142" w:right="-46"/>
        <w:rPr>
          <w:rFonts w:ascii="Tenorite" w:hAnsi="Tenorite"/>
          <w:color w:val="140A2C"/>
          <w:sz w:val="22"/>
          <w:szCs w:val="22"/>
        </w:rPr>
      </w:pPr>
    </w:p>
    <w:p w14:paraId="4F1CF9E5" w14:textId="7C5483BF" w:rsidR="00F72C7B" w:rsidRDefault="0001438F" w:rsidP="001D7A10">
      <w:pPr>
        <w:pStyle w:val="Heading1"/>
        <w:spacing w:line="240" w:lineRule="atLeast"/>
        <w:ind w:right="-46" w:hanging="142"/>
        <w:rPr>
          <w:rFonts w:ascii="Tenorite" w:hAnsi="Tenorite"/>
          <w:color w:val="140A2C"/>
          <w:sz w:val="22"/>
          <w:szCs w:val="22"/>
        </w:rPr>
      </w:pPr>
      <w:r>
        <w:rPr>
          <w:rFonts w:ascii="Tenorite" w:hAnsi="Tenorite"/>
          <w:color w:val="140A2C"/>
          <w:sz w:val="22"/>
          <w:szCs w:val="22"/>
        </w:rPr>
        <w:t>APPROACHING PLANT &amp; VEHICLES</w:t>
      </w:r>
      <w:r w:rsidR="00F72C7B" w:rsidRPr="00F72C7B">
        <w:rPr>
          <w:rFonts w:ascii="Tenorite" w:hAnsi="Tenorite"/>
          <w:color w:val="140A2C"/>
          <w:sz w:val="22"/>
          <w:szCs w:val="22"/>
        </w:rPr>
        <w:t>!</w:t>
      </w:r>
    </w:p>
    <w:p w14:paraId="624C7CAE" w14:textId="77777777" w:rsidR="005558BA" w:rsidRPr="00F72C7B" w:rsidRDefault="005558BA" w:rsidP="005558BA"/>
    <w:p w14:paraId="25ABA5CE" w14:textId="4252833F" w:rsidR="00F72C7B" w:rsidRDefault="00F72C7B" w:rsidP="005558BA">
      <w:pPr>
        <w:pStyle w:val="ListParagraph"/>
        <w:numPr>
          <w:ilvl w:val="0"/>
          <w:numId w:val="22"/>
        </w:numPr>
        <w:tabs>
          <w:tab w:val="left" w:pos="426"/>
        </w:tabs>
        <w:spacing w:after="0" w:line="240" w:lineRule="auto"/>
        <w:ind w:left="284" w:right="-46" w:hanging="284"/>
        <w:rPr>
          <w:rFonts w:ascii="Tenorite" w:hAnsi="Tenorite"/>
          <w:color w:val="140A2C"/>
        </w:rPr>
      </w:pPr>
      <w:r w:rsidRPr="00F72C7B">
        <w:rPr>
          <w:rFonts w:ascii="Tenorite" w:hAnsi="Tenorite"/>
          <w:color w:val="140A2C"/>
        </w:rPr>
        <w:t xml:space="preserve">Anyone approaching plant must make eye contact with the operator </w:t>
      </w:r>
      <w:r w:rsidR="0001438F">
        <w:rPr>
          <w:rFonts w:ascii="Tenorite" w:hAnsi="Tenorite"/>
          <w:color w:val="140A2C"/>
        </w:rPr>
        <w:t xml:space="preserve">(and banksman if applicable) </w:t>
      </w:r>
      <w:r w:rsidRPr="00F72C7B">
        <w:rPr>
          <w:rFonts w:ascii="Tenorite" w:hAnsi="Tenorite"/>
          <w:color w:val="140A2C"/>
        </w:rPr>
        <w:t>and wait until signalled</w:t>
      </w:r>
      <w:r w:rsidR="001D7A10">
        <w:rPr>
          <w:rFonts w:ascii="Tenorite" w:hAnsi="Tenorite"/>
          <w:color w:val="140A2C"/>
        </w:rPr>
        <w:t>.</w:t>
      </w:r>
      <w:r w:rsidR="0001438F">
        <w:rPr>
          <w:rFonts w:ascii="Tenorite" w:hAnsi="Tenorite"/>
          <w:color w:val="140A2C"/>
        </w:rPr>
        <w:t xml:space="preserve"> </w:t>
      </w:r>
      <w:r w:rsidR="00F71DFC">
        <w:rPr>
          <w:rFonts w:ascii="Tenorite" w:hAnsi="Tenorite"/>
          <w:color w:val="140A2C"/>
        </w:rPr>
        <w:t xml:space="preserve"> Use the </w:t>
      </w:r>
      <w:r w:rsidR="00F71DFC" w:rsidRPr="00F71DFC">
        <w:rPr>
          <w:rFonts w:ascii="Tenorite" w:hAnsi="Tenorite"/>
          <w:b/>
          <w:bCs/>
          <w:color w:val="140A2C"/>
        </w:rPr>
        <w:t>‘THUMBS UP APPROACH’</w:t>
      </w:r>
      <w:r w:rsidR="00F71DFC">
        <w:rPr>
          <w:rFonts w:ascii="Tenorite" w:hAnsi="Tenorite"/>
          <w:color w:val="140A2C"/>
        </w:rPr>
        <w:t>.</w:t>
      </w:r>
      <w:r w:rsidR="000A4B20">
        <w:rPr>
          <w:rFonts w:ascii="Tenorite" w:hAnsi="Tenorite"/>
          <w:color w:val="140A2C"/>
        </w:rPr>
        <w:t xml:space="preserve"> See below.</w:t>
      </w:r>
    </w:p>
    <w:p w14:paraId="7281EFF6" w14:textId="387BD9F3" w:rsidR="00F72C7B" w:rsidRPr="00F72C7B" w:rsidRDefault="0001438F" w:rsidP="0001438F">
      <w:pPr>
        <w:pStyle w:val="ListParagraph"/>
        <w:numPr>
          <w:ilvl w:val="0"/>
          <w:numId w:val="22"/>
        </w:numPr>
        <w:tabs>
          <w:tab w:val="left" w:pos="426"/>
        </w:tabs>
        <w:spacing w:after="0" w:line="240" w:lineRule="auto"/>
        <w:ind w:left="284" w:right="-46" w:hanging="284"/>
        <w:rPr>
          <w:rFonts w:ascii="Tenorite" w:hAnsi="Tenorite"/>
          <w:color w:val="140A2C"/>
        </w:rPr>
      </w:pPr>
      <w:r w:rsidRPr="0001438F">
        <w:rPr>
          <w:rFonts w:ascii="Tenorite" w:hAnsi="Tenorite"/>
          <w:color w:val="140A2C"/>
        </w:rPr>
        <w:t>DO NOT enter the area until they have signalled it is safe to do so</w:t>
      </w:r>
      <w:r>
        <w:rPr>
          <w:rFonts w:ascii="Tenorite" w:hAnsi="Tenorite"/>
          <w:color w:val="140A2C"/>
        </w:rPr>
        <w:t>!</w:t>
      </w:r>
    </w:p>
    <w:p w14:paraId="4504919F" w14:textId="6A83C3EA" w:rsidR="00F72C7B" w:rsidRDefault="00F72C7B" w:rsidP="005558BA">
      <w:pPr>
        <w:pStyle w:val="ListParagraph"/>
        <w:numPr>
          <w:ilvl w:val="0"/>
          <w:numId w:val="22"/>
        </w:numPr>
        <w:tabs>
          <w:tab w:val="left" w:pos="426"/>
        </w:tabs>
        <w:spacing w:after="0" w:line="240" w:lineRule="auto"/>
        <w:ind w:left="284" w:right="-46" w:hanging="284"/>
        <w:rPr>
          <w:rFonts w:ascii="Tenorite" w:hAnsi="Tenorite"/>
          <w:color w:val="140A2C"/>
        </w:rPr>
      </w:pPr>
      <w:r w:rsidRPr="00F72C7B">
        <w:rPr>
          <w:rFonts w:ascii="Tenorite" w:hAnsi="Tenorite"/>
          <w:color w:val="140A2C"/>
        </w:rPr>
        <w:t>Operators must ensure that any safety levers are activated and machines switched off before people approach</w:t>
      </w:r>
      <w:r w:rsidR="00FB227F">
        <w:rPr>
          <w:rFonts w:ascii="Tenorite" w:hAnsi="Tenorite"/>
          <w:color w:val="140A2C"/>
        </w:rPr>
        <w:t>, with buckets (or attachments) grounded.</w:t>
      </w:r>
    </w:p>
    <w:p w14:paraId="0376718D" w14:textId="77777777" w:rsidR="00E9052C" w:rsidRPr="00E9052C" w:rsidRDefault="00E9052C" w:rsidP="00E9052C">
      <w:pPr>
        <w:pStyle w:val="ListParagraph"/>
        <w:numPr>
          <w:ilvl w:val="0"/>
          <w:numId w:val="22"/>
        </w:numPr>
        <w:tabs>
          <w:tab w:val="left" w:pos="426"/>
        </w:tabs>
        <w:spacing w:after="0" w:line="240" w:lineRule="auto"/>
        <w:ind w:left="284" w:right="-46" w:hanging="284"/>
        <w:rPr>
          <w:rFonts w:ascii="Tenorite" w:hAnsi="Tenorite"/>
          <w:color w:val="140A2C"/>
        </w:rPr>
      </w:pPr>
      <w:r w:rsidRPr="00E9052C">
        <w:rPr>
          <w:rFonts w:ascii="Tenorite" w:hAnsi="Tenorite"/>
          <w:color w:val="140A2C"/>
        </w:rPr>
        <w:t>If driving and needing to pass an item of plant, stop a safe distance away, gain eye contact with the operator and banksman if applicable and wait for a signal that it is safe to pass.  If passing an excavator, the bucket must be grounded.</w:t>
      </w:r>
    </w:p>
    <w:p w14:paraId="730F2F1F" w14:textId="77777777" w:rsidR="00B13387" w:rsidRPr="009027CB" w:rsidRDefault="00B13387" w:rsidP="00B13387">
      <w:pPr>
        <w:jc w:val="both"/>
        <w:rPr>
          <w:rFonts w:ascii="Arial Narrow" w:hAnsi="Arial Narrow"/>
          <w:sz w:val="22"/>
          <w:szCs w:val="22"/>
        </w:rPr>
      </w:pPr>
    </w:p>
    <w:p w14:paraId="43A7FA67" w14:textId="29D701A1" w:rsidR="00E22080" w:rsidRDefault="0001438F" w:rsidP="0001438F">
      <w:pPr>
        <w:tabs>
          <w:tab w:val="left" w:pos="426"/>
        </w:tabs>
        <w:ind w:right="-46"/>
        <w:jc w:val="center"/>
        <w:rPr>
          <w:rFonts w:ascii="Tenorite" w:hAnsi="Tenorite"/>
          <w:color w:val="140A2C"/>
        </w:rPr>
      </w:pPr>
      <w:r>
        <w:rPr>
          <w:rFonts w:ascii="Tenorite" w:hAnsi="Tenorite"/>
          <w:noProof/>
          <w:color w:val="140A2C"/>
        </w:rPr>
        <w:drawing>
          <wp:inline distT="0" distB="0" distL="0" distR="0" wp14:anchorId="44C8B148" wp14:editId="20BF4D72">
            <wp:extent cx="2933700" cy="2933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pic:spPr>
                </pic:pic>
              </a:graphicData>
            </a:graphic>
          </wp:inline>
        </w:drawing>
      </w:r>
    </w:p>
    <w:p w14:paraId="47D53161" w14:textId="77777777" w:rsidR="006952B3" w:rsidRDefault="006952B3" w:rsidP="00404697">
      <w:pPr>
        <w:pStyle w:val="Heading1"/>
        <w:spacing w:line="240" w:lineRule="atLeast"/>
        <w:ind w:right="-46" w:hanging="142"/>
        <w:rPr>
          <w:rFonts w:ascii="Tenorite" w:hAnsi="Tenorite"/>
          <w:color w:val="140A2C"/>
          <w:sz w:val="22"/>
          <w:szCs w:val="22"/>
        </w:rPr>
      </w:pPr>
    </w:p>
    <w:p w14:paraId="3C84EB68" w14:textId="660ACFDD" w:rsidR="00404697" w:rsidRDefault="00404697" w:rsidP="00404697">
      <w:pPr>
        <w:pStyle w:val="Heading1"/>
        <w:spacing w:line="240" w:lineRule="atLeast"/>
        <w:ind w:right="-46" w:hanging="142"/>
        <w:rPr>
          <w:rFonts w:ascii="Tenorite" w:hAnsi="Tenorite"/>
          <w:color w:val="140A2C"/>
          <w:sz w:val="22"/>
          <w:szCs w:val="22"/>
        </w:rPr>
      </w:pPr>
      <w:r>
        <w:rPr>
          <w:rFonts w:ascii="Tenorite" w:hAnsi="Tenorite"/>
          <w:color w:val="140A2C"/>
          <w:sz w:val="22"/>
          <w:szCs w:val="22"/>
        </w:rPr>
        <w:t>BANKSMAN/VEHICLE MARSHALS</w:t>
      </w:r>
    </w:p>
    <w:p w14:paraId="7DFF1C07" w14:textId="43F8C63C" w:rsidR="0001438F" w:rsidRDefault="0001438F" w:rsidP="00E22080">
      <w:pPr>
        <w:tabs>
          <w:tab w:val="left" w:pos="426"/>
        </w:tabs>
        <w:ind w:right="-46"/>
        <w:rPr>
          <w:rFonts w:ascii="Tenorite" w:hAnsi="Tenorite"/>
          <w:color w:val="140A2C"/>
        </w:rPr>
      </w:pPr>
    </w:p>
    <w:p w14:paraId="32140755" w14:textId="58D44189" w:rsidR="00404697" w:rsidRPr="006952B3" w:rsidRDefault="00404697" w:rsidP="00404697">
      <w:pPr>
        <w:pStyle w:val="ListParagraph"/>
        <w:numPr>
          <w:ilvl w:val="0"/>
          <w:numId w:val="22"/>
        </w:numPr>
        <w:tabs>
          <w:tab w:val="left" w:pos="426"/>
        </w:tabs>
        <w:spacing w:after="0" w:line="240" w:lineRule="auto"/>
        <w:ind w:left="284" w:right="-46" w:hanging="284"/>
        <w:rPr>
          <w:rFonts w:ascii="Tenorite" w:hAnsi="Tenorite"/>
          <w:color w:val="FF0000"/>
        </w:rPr>
      </w:pPr>
      <w:r w:rsidRPr="00404697">
        <w:rPr>
          <w:rFonts w:ascii="Tenorite" w:hAnsi="Tenorite"/>
          <w:color w:val="140A2C"/>
        </w:rPr>
        <w:t xml:space="preserve">If working with plant, stand in the recommended safe position, as detailed in the risk assessment.  Do not stand on the blind side of the plant where the operator cannot see you or has restricted visibility.  </w:t>
      </w:r>
      <w:r w:rsidRPr="006952B3">
        <w:rPr>
          <w:rFonts w:ascii="Tenorite" w:hAnsi="Tenorite"/>
          <w:color w:val="FF0000"/>
        </w:rPr>
        <w:t xml:space="preserve">Plant/Vehicle Marshalls must be competent to undertake their role, however please note: as part of the risk assessment process for using mobile plant the use of a </w:t>
      </w:r>
      <w:proofErr w:type="spellStart"/>
      <w:r w:rsidRPr="006952B3">
        <w:rPr>
          <w:rFonts w:ascii="Tenorite" w:hAnsi="Tenorite"/>
          <w:color w:val="FF0000"/>
        </w:rPr>
        <w:t>marshall</w:t>
      </w:r>
      <w:proofErr w:type="spellEnd"/>
      <w:r w:rsidRPr="006952B3">
        <w:rPr>
          <w:rFonts w:ascii="Tenorite" w:hAnsi="Tenorite"/>
          <w:color w:val="FF0000"/>
        </w:rPr>
        <w:t xml:space="preserve"> ‘must not ‘be the default position.  The preference must always be to remove the plant/people interface wherever practicable and therefore the use a </w:t>
      </w:r>
      <w:smartTag w:uri="urn:schemas-microsoft-com:office:smarttags" w:element="City">
        <w:smartTag w:uri="urn:schemas-microsoft-com:office:smarttags" w:element="place">
          <w:r w:rsidRPr="006952B3">
            <w:rPr>
              <w:rFonts w:ascii="Tenorite" w:hAnsi="Tenorite"/>
              <w:color w:val="FF0000"/>
            </w:rPr>
            <w:t>marshall</w:t>
          </w:r>
        </w:smartTag>
      </w:smartTag>
      <w:r w:rsidRPr="006952B3">
        <w:rPr>
          <w:rFonts w:ascii="Tenorite" w:hAnsi="Tenorite"/>
          <w:color w:val="FF0000"/>
        </w:rPr>
        <w:t xml:space="preserve"> should be ‘risk assessed in’.</w:t>
      </w:r>
    </w:p>
    <w:p w14:paraId="6B57E93F" w14:textId="269BF98B" w:rsidR="00404697" w:rsidRDefault="00404697" w:rsidP="00E22080">
      <w:pPr>
        <w:tabs>
          <w:tab w:val="left" w:pos="426"/>
        </w:tabs>
        <w:ind w:right="-46"/>
        <w:rPr>
          <w:rFonts w:ascii="Tenorite" w:hAnsi="Tenorite"/>
          <w:color w:val="140A2C"/>
        </w:rPr>
      </w:pPr>
    </w:p>
    <w:p w14:paraId="0C842128" w14:textId="0624C4A8" w:rsidR="0001438F" w:rsidRDefault="0001438F" w:rsidP="0001438F">
      <w:pPr>
        <w:pStyle w:val="Heading1"/>
        <w:spacing w:line="240" w:lineRule="atLeast"/>
        <w:ind w:right="-46" w:hanging="142"/>
        <w:rPr>
          <w:rFonts w:ascii="Tenorite" w:hAnsi="Tenorite"/>
          <w:color w:val="140A2C"/>
          <w:sz w:val="22"/>
          <w:szCs w:val="22"/>
        </w:rPr>
      </w:pPr>
      <w:r>
        <w:rPr>
          <w:rFonts w:ascii="Tenorite" w:hAnsi="Tenorite"/>
          <w:color w:val="140A2C"/>
          <w:sz w:val="22"/>
          <w:szCs w:val="22"/>
        </w:rPr>
        <w:lastRenderedPageBreak/>
        <w:t>EXCLUSION ZONES</w:t>
      </w:r>
      <w:r w:rsidRPr="00F72C7B">
        <w:rPr>
          <w:rFonts w:ascii="Tenorite" w:hAnsi="Tenorite"/>
          <w:color w:val="140A2C"/>
          <w:sz w:val="22"/>
          <w:szCs w:val="22"/>
        </w:rPr>
        <w:t>!</w:t>
      </w:r>
    </w:p>
    <w:p w14:paraId="3AACA6B4" w14:textId="10BEE0A1" w:rsidR="0001438F" w:rsidRDefault="0001438F" w:rsidP="00E22080">
      <w:pPr>
        <w:tabs>
          <w:tab w:val="left" w:pos="426"/>
        </w:tabs>
        <w:ind w:right="-46"/>
        <w:rPr>
          <w:rFonts w:ascii="Tenorite" w:hAnsi="Tenorite"/>
          <w:color w:val="140A2C"/>
        </w:rPr>
      </w:pPr>
    </w:p>
    <w:p w14:paraId="2044DADA" w14:textId="61E302CE" w:rsidR="0001438F" w:rsidRDefault="00F72C7B" w:rsidP="0001438F">
      <w:pPr>
        <w:ind w:left="-142" w:right="-46"/>
        <w:rPr>
          <w:rFonts w:ascii="Tenorite" w:hAnsi="Tenorite"/>
          <w:color w:val="140A2C"/>
          <w:sz w:val="22"/>
          <w:szCs w:val="22"/>
        </w:rPr>
      </w:pPr>
      <w:r w:rsidRPr="00F72C7B">
        <w:rPr>
          <w:rFonts w:ascii="Tenorite" w:hAnsi="Tenorite"/>
          <w:color w:val="140A2C"/>
          <w:sz w:val="22"/>
          <w:szCs w:val="22"/>
        </w:rPr>
        <w:t>The diagrams in this toolbox talk give an understanding of the safe zones applicable to a range of plant machinery likely to be used on our sites</w:t>
      </w:r>
      <w:r w:rsidR="006952B3">
        <w:rPr>
          <w:rFonts w:ascii="Tenorite" w:hAnsi="Tenorite"/>
          <w:color w:val="140A2C"/>
          <w:sz w:val="22"/>
          <w:szCs w:val="22"/>
        </w:rPr>
        <w:t>.</w:t>
      </w:r>
    </w:p>
    <w:p w14:paraId="05BC34DE" w14:textId="77777777" w:rsidR="0001438F" w:rsidRPr="00E22080" w:rsidRDefault="0001438F" w:rsidP="00E22080">
      <w:pPr>
        <w:tabs>
          <w:tab w:val="left" w:pos="426"/>
        </w:tabs>
        <w:ind w:right="-46"/>
        <w:rPr>
          <w:rFonts w:ascii="Tenorite" w:hAnsi="Tenorite"/>
          <w:color w:val="140A2C"/>
        </w:rPr>
      </w:pPr>
    </w:p>
    <w:tbl>
      <w:tblPr>
        <w:tblW w:w="9204" w:type="dxa"/>
        <w:jc w:val="center"/>
        <w:tblCellMar>
          <w:left w:w="0" w:type="dxa"/>
          <w:right w:w="0" w:type="dxa"/>
        </w:tblCellMar>
        <w:tblLook w:val="0420" w:firstRow="1" w:lastRow="0" w:firstColumn="0" w:lastColumn="0" w:noHBand="0" w:noVBand="1"/>
      </w:tblPr>
      <w:tblGrid>
        <w:gridCol w:w="2400"/>
        <w:gridCol w:w="6804"/>
      </w:tblGrid>
      <w:tr w:rsidR="00F76EF4" w:rsidRPr="00F76EF4" w14:paraId="23214640" w14:textId="77777777" w:rsidTr="00F76EF4">
        <w:trPr>
          <w:trHeight w:val="584"/>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9966"/>
            <w:tcMar>
              <w:top w:w="72" w:type="dxa"/>
              <w:left w:w="144" w:type="dxa"/>
              <w:bottom w:w="72" w:type="dxa"/>
              <w:right w:w="144" w:type="dxa"/>
            </w:tcMar>
            <w:vAlign w:val="center"/>
            <w:hideMark/>
          </w:tcPr>
          <w:p w14:paraId="1F04C0D1" w14:textId="425BD2F6" w:rsidR="00F76EF4" w:rsidRPr="00177F9C" w:rsidRDefault="00F76EF4" w:rsidP="0056033C">
            <w:pPr>
              <w:jc w:val="center"/>
              <w:rPr>
                <w:rFonts w:ascii="Tenorite" w:eastAsiaTheme="minorHAnsi" w:hAnsi="Tenorite" w:cstheme="minorHAnsi"/>
                <w:b/>
                <w:bCs/>
                <w:sz w:val="22"/>
                <w:szCs w:val="22"/>
              </w:rPr>
            </w:pPr>
            <w:r w:rsidRPr="00177F9C">
              <w:rPr>
                <w:rFonts w:ascii="Tenorite" w:eastAsiaTheme="minorHAnsi" w:hAnsi="Tenorite" w:cstheme="minorHAnsi"/>
                <w:b/>
                <w:bCs/>
                <w:sz w:val="22"/>
                <w:szCs w:val="22"/>
              </w:rPr>
              <w:t>Zone 1</w:t>
            </w:r>
          </w:p>
        </w:tc>
        <w:tc>
          <w:tcPr>
            <w:tcW w:w="680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465DECE" w14:textId="2761D240" w:rsidR="00F76EF4" w:rsidRPr="00177F9C" w:rsidRDefault="00F76EF4" w:rsidP="0056033C">
            <w:pPr>
              <w:jc w:val="center"/>
              <w:rPr>
                <w:rFonts w:ascii="Tenorite" w:eastAsiaTheme="minorHAnsi" w:hAnsi="Tenorite" w:cstheme="minorHAnsi"/>
                <w:sz w:val="22"/>
                <w:szCs w:val="22"/>
              </w:rPr>
            </w:pPr>
            <w:r w:rsidRPr="00177F9C">
              <w:rPr>
                <w:rFonts w:ascii="Tenorite" w:eastAsiaTheme="minorHAnsi" w:hAnsi="Tenorite" w:cstheme="minorHAnsi"/>
                <w:sz w:val="22"/>
                <w:szCs w:val="22"/>
              </w:rPr>
              <w:t>Always signal the plant operator and receive a positive response before entering this zone</w:t>
            </w:r>
            <w:r w:rsidR="00EB2FE9" w:rsidRPr="00177F9C">
              <w:rPr>
                <w:rFonts w:ascii="Tenorite" w:eastAsiaTheme="minorHAnsi" w:hAnsi="Tenorite" w:cstheme="minorHAnsi"/>
                <w:sz w:val="22"/>
                <w:szCs w:val="22"/>
              </w:rPr>
              <w:t>.</w:t>
            </w:r>
          </w:p>
        </w:tc>
      </w:tr>
      <w:tr w:rsidR="00F76EF4" w:rsidRPr="00F76EF4" w14:paraId="09341AE2" w14:textId="77777777" w:rsidTr="00F76EF4">
        <w:trPr>
          <w:trHeight w:val="584"/>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4E90CEAE" w14:textId="77777777" w:rsidR="00F76EF4" w:rsidRPr="00177F9C" w:rsidRDefault="00F76EF4" w:rsidP="0056033C">
            <w:pPr>
              <w:jc w:val="center"/>
              <w:rPr>
                <w:rFonts w:ascii="Tenorite" w:eastAsiaTheme="minorHAnsi" w:hAnsi="Tenorite" w:cstheme="minorHAnsi"/>
                <w:sz w:val="22"/>
                <w:szCs w:val="22"/>
              </w:rPr>
            </w:pPr>
            <w:r w:rsidRPr="00177F9C">
              <w:rPr>
                <w:rFonts w:ascii="Tenorite" w:eastAsiaTheme="minorHAnsi" w:hAnsi="Tenorite" w:cstheme="minorHAnsi"/>
                <w:b/>
                <w:bCs/>
                <w:sz w:val="22"/>
                <w:szCs w:val="22"/>
              </w:rPr>
              <w:t>Zone 2</w:t>
            </w:r>
          </w:p>
        </w:tc>
        <w:tc>
          <w:tcPr>
            <w:tcW w:w="680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455C35A" w14:textId="64C84B32" w:rsidR="00F76EF4" w:rsidRPr="00F76EF4" w:rsidRDefault="00F76EF4" w:rsidP="008C2BA3">
            <w:pPr>
              <w:ind w:left="-142" w:right="-46"/>
              <w:jc w:val="center"/>
              <w:rPr>
                <w:rFonts w:ascii="Tenorite" w:hAnsi="Tenorite"/>
                <w:color w:val="140A2C"/>
                <w:sz w:val="22"/>
                <w:szCs w:val="22"/>
              </w:rPr>
            </w:pPr>
            <w:r w:rsidRPr="00F76EF4">
              <w:rPr>
                <w:rFonts w:ascii="Tenorite" w:eastAsiaTheme="minorHAnsi" w:hAnsi="Tenorite" w:cstheme="minorHAnsi"/>
                <w:sz w:val="22"/>
                <w:szCs w:val="22"/>
              </w:rPr>
              <w:t>KEEP OUT OF THIS AREA AT ALL TIMES</w:t>
            </w:r>
            <w:r w:rsidR="008C2BA3" w:rsidRPr="00177F9C">
              <w:rPr>
                <w:rFonts w:ascii="Tenorite" w:hAnsi="Tenorite" w:cstheme="minorHAnsi"/>
                <w:sz w:val="22"/>
                <w:szCs w:val="22"/>
              </w:rPr>
              <w:t xml:space="preserve"> (</w:t>
            </w:r>
            <w:r w:rsidR="008C2BA3" w:rsidRPr="00177F9C">
              <w:rPr>
                <w:rFonts w:ascii="Tenorite" w:hAnsi="Tenorite"/>
                <w:color w:val="140A2C"/>
                <w:sz w:val="22"/>
                <w:szCs w:val="22"/>
              </w:rPr>
              <w:t>unless machine is fully isolated).</w:t>
            </w:r>
          </w:p>
        </w:tc>
      </w:tr>
      <w:tr w:rsidR="00F76EF4" w:rsidRPr="00F76EF4" w14:paraId="067624CA" w14:textId="77777777" w:rsidTr="00F76EF4">
        <w:trPr>
          <w:trHeight w:val="584"/>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14:paraId="75028C1A" w14:textId="700A8301" w:rsidR="00177F9C" w:rsidRPr="00177F9C" w:rsidRDefault="00177F9C" w:rsidP="00177F9C">
            <w:pPr>
              <w:ind w:left="-142" w:right="-46"/>
              <w:jc w:val="center"/>
              <w:rPr>
                <w:rFonts w:ascii="Tenorite" w:hAnsi="Tenorite"/>
                <w:b/>
                <w:bCs/>
                <w:color w:val="140A2C"/>
                <w:sz w:val="22"/>
                <w:szCs w:val="22"/>
              </w:rPr>
            </w:pPr>
            <w:r w:rsidRPr="00177F9C">
              <w:rPr>
                <w:rFonts w:ascii="Tenorite" w:hAnsi="Tenorite"/>
                <w:b/>
                <w:bCs/>
                <w:color w:val="140A2C"/>
                <w:sz w:val="22"/>
                <w:szCs w:val="22"/>
              </w:rPr>
              <w:t>Machine Operator Site line Controlled access zone.</w:t>
            </w:r>
          </w:p>
          <w:p w14:paraId="38AB531A" w14:textId="7DC5C1CB" w:rsidR="00AD446E" w:rsidRPr="00177F9C" w:rsidRDefault="00AD446E" w:rsidP="0056033C">
            <w:pPr>
              <w:jc w:val="center"/>
              <w:rPr>
                <w:rFonts w:ascii="Tenorite" w:eastAsiaTheme="minorHAnsi" w:hAnsi="Tenorite" w:cstheme="minorHAnsi"/>
                <w:b/>
                <w:bCs/>
                <w:sz w:val="22"/>
                <w:szCs w:val="22"/>
              </w:rPr>
            </w:pPr>
          </w:p>
          <w:p w14:paraId="2EF7F2A5" w14:textId="77777777" w:rsidR="00F76EF4" w:rsidRPr="00F76EF4" w:rsidRDefault="00F76EF4" w:rsidP="0056033C">
            <w:pPr>
              <w:pStyle w:val="ListParagraph"/>
              <w:spacing w:after="0" w:line="240" w:lineRule="auto"/>
              <w:ind w:left="-426"/>
              <w:jc w:val="center"/>
              <w:rPr>
                <w:rFonts w:ascii="Tenorite" w:hAnsi="Tenorite" w:cstheme="minorHAnsi"/>
              </w:rPr>
            </w:pPr>
          </w:p>
        </w:tc>
        <w:tc>
          <w:tcPr>
            <w:tcW w:w="680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92473A9" w14:textId="2262ADE4" w:rsidR="00F76EF4" w:rsidRPr="00177F9C" w:rsidRDefault="00F76EF4" w:rsidP="001C4EDA">
            <w:pPr>
              <w:jc w:val="center"/>
              <w:rPr>
                <w:rFonts w:ascii="Tenorite" w:eastAsiaTheme="minorHAnsi" w:hAnsi="Tenorite" w:cstheme="minorHAnsi"/>
                <w:sz w:val="22"/>
                <w:szCs w:val="22"/>
              </w:rPr>
            </w:pPr>
            <w:r w:rsidRPr="00177F9C">
              <w:rPr>
                <w:rFonts w:ascii="Tenorite" w:eastAsiaTheme="minorHAnsi" w:hAnsi="Tenorite" w:cstheme="minorHAnsi"/>
                <w:sz w:val="22"/>
                <w:szCs w:val="22"/>
              </w:rPr>
              <w:t xml:space="preserve">Area within operators line of sight – </w:t>
            </w:r>
            <w:r w:rsidR="00B173B6" w:rsidRPr="00804173">
              <w:rPr>
                <w:rFonts w:ascii="Tenorite" w:hAnsi="Tenorite"/>
                <w:color w:val="140A2C"/>
                <w:sz w:val="22"/>
                <w:szCs w:val="22"/>
              </w:rPr>
              <w:t>This is the best zone for approaching an excavator as it provides the greatest chance of you being seen by the operator</w:t>
            </w:r>
            <w:r w:rsidR="00B173B6">
              <w:rPr>
                <w:rFonts w:ascii="Tenorite" w:hAnsi="Tenorite"/>
                <w:color w:val="140A2C"/>
                <w:sz w:val="22"/>
                <w:szCs w:val="22"/>
              </w:rPr>
              <w:t>. S</w:t>
            </w:r>
            <w:r w:rsidRPr="00177F9C">
              <w:rPr>
                <w:rFonts w:ascii="Tenorite" w:eastAsiaTheme="minorHAnsi" w:hAnsi="Tenorite" w:cstheme="minorHAnsi"/>
                <w:sz w:val="22"/>
                <w:szCs w:val="22"/>
              </w:rPr>
              <w:t>tand in  this area to attract operators</w:t>
            </w:r>
            <w:r w:rsidR="005D1706" w:rsidRPr="00177F9C">
              <w:rPr>
                <w:rFonts w:ascii="Tenorite" w:hAnsi="Tenorite" w:cstheme="minorHAnsi"/>
                <w:sz w:val="22"/>
                <w:szCs w:val="22"/>
              </w:rPr>
              <w:t xml:space="preserve"> </w:t>
            </w:r>
            <w:r w:rsidRPr="00177F9C">
              <w:rPr>
                <w:rFonts w:ascii="Tenorite" w:eastAsiaTheme="minorHAnsi" w:hAnsi="Tenorite" w:cstheme="minorHAnsi"/>
                <w:sz w:val="22"/>
                <w:szCs w:val="22"/>
              </w:rPr>
              <w:t>attention</w:t>
            </w:r>
            <w:r w:rsidR="00EB2FE9" w:rsidRPr="00177F9C">
              <w:rPr>
                <w:rFonts w:ascii="Tenorite" w:eastAsiaTheme="minorHAnsi" w:hAnsi="Tenorite" w:cstheme="minorHAnsi"/>
                <w:sz w:val="22"/>
                <w:szCs w:val="22"/>
              </w:rPr>
              <w:t xml:space="preserve">. This includes </w:t>
            </w:r>
            <w:r w:rsidR="001C4EDA" w:rsidRPr="00177F9C">
              <w:rPr>
                <w:rFonts w:ascii="Tenorite" w:eastAsiaTheme="minorHAnsi" w:hAnsi="Tenorite" w:cstheme="minorHAnsi"/>
                <w:sz w:val="22"/>
                <w:szCs w:val="22"/>
              </w:rPr>
              <w:t>Machine controllers/banksman.</w:t>
            </w:r>
          </w:p>
        </w:tc>
      </w:tr>
    </w:tbl>
    <w:p w14:paraId="313FE4AD" w14:textId="2EA91C49" w:rsidR="00F76EF4" w:rsidRDefault="00F76EF4" w:rsidP="006E10DD">
      <w:pPr>
        <w:pStyle w:val="ListParagraph"/>
        <w:spacing w:after="0" w:line="240" w:lineRule="auto"/>
        <w:ind w:left="-426"/>
        <w:rPr>
          <w:rFonts w:cstheme="minorHAnsi"/>
          <w:sz w:val="20"/>
          <w:szCs w:val="20"/>
        </w:rPr>
      </w:pPr>
    </w:p>
    <w:tbl>
      <w:tblPr>
        <w:tblStyle w:val="TableGrid"/>
        <w:tblW w:w="9932" w:type="dxa"/>
        <w:jc w:val="center"/>
        <w:tblLook w:val="04A0" w:firstRow="1" w:lastRow="0" w:firstColumn="1" w:lastColumn="0" w:noHBand="0" w:noVBand="1"/>
      </w:tblPr>
      <w:tblGrid>
        <w:gridCol w:w="4966"/>
        <w:gridCol w:w="4966"/>
      </w:tblGrid>
      <w:tr w:rsidR="00072666" w14:paraId="2A1B8EFC" w14:textId="77777777" w:rsidTr="002775AC">
        <w:trPr>
          <w:jc w:val="center"/>
        </w:trPr>
        <w:tc>
          <w:tcPr>
            <w:tcW w:w="4966" w:type="dxa"/>
          </w:tcPr>
          <w:p w14:paraId="1A76B61C" w14:textId="11CB88A8" w:rsidR="00072666" w:rsidRDefault="00072666" w:rsidP="00072666">
            <w:pPr>
              <w:pStyle w:val="ListParagraph"/>
              <w:spacing w:after="0" w:line="240" w:lineRule="auto"/>
              <w:ind w:left="0"/>
              <w:jc w:val="center"/>
              <w:rPr>
                <w:rFonts w:cstheme="minorHAnsi"/>
                <w:sz w:val="20"/>
                <w:szCs w:val="20"/>
              </w:rPr>
            </w:pPr>
            <w:r>
              <w:rPr>
                <w:rFonts w:cstheme="minorHAnsi"/>
                <w:noProof/>
                <w:sz w:val="20"/>
                <w:szCs w:val="20"/>
              </w:rPr>
              <w:drawing>
                <wp:inline distT="0" distB="0" distL="0" distR="0" wp14:anchorId="48465F96" wp14:editId="4ECDCD11">
                  <wp:extent cx="3016800" cy="19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51330" b="44576"/>
                          <a:stretch/>
                        </pic:blipFill>
                        <pic:spPr bwMode="auto">
                          <a:xfrm>
                            <a:off x="0" y="0"/>
                            <a:ext cx="3016800" cy="192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6" w:type="dxa"/>
          </w:tcPr>
          <w:p w14:paraId="573512B5" w14:textId="53FDC430" w:rsidR="00072666" w:rsidRDefault="000C2D38" w:rsidP="000C2D38">
            <w:pPr>
              <w:pStyle w:val="ListParagraph"/>
              <w:spacing w:after="0" w:line="240" w:lineRule="auto"/>
              <w:ind w:left="0"/>
              <w:jc w:val="center"/>
              <w:rPr>
                <w:rFonts w:cstheme="minorHAnsi"/>
                <w:sz w:val="20"/>
                <w:szCs w:val="20"/>
              </w:rPr>
            </w:pPr>
            <w:r w:rsidRPr="00F6354E">
              <w:rPr>
                <w:rFonts w:ascii="Arial Narrow" w:hAnsi="Arial Narrow" w:cs="Arial"/>
                <w:b/>
                <w:noProof/>
                <w:color w:val="3366FF"/>
              </w:rPr>
              <w:drawing>
                <wp:inline distT="0" distB="0" distL="0" distR="0" wp14:anchorId="495C4F50" wp14:editId="4149A3BA">
                  <wp:extent cx="3006000" cy="19296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00" cy="1929600"/>
                          </a:xfrm>
                          <a:prstGeom prst="rect">
                            <a:avLst/>
                          </a:prstGeom>
                          <a:noFill/>
                          <a:ln>
                            <a:noFill/>
                          </a:ln>
                        </pic:spPr>
                      </pic:pic>
                    </a:graphicData>
                  </a:graphic>
                </wp:inline>
              </w:drawing>
            </w:r>
          </w:p>
        </w:tc>
      </w:tr>
      <w:tr w:rsidR="00072666" w14:paraId="331D2C77" w14:textId="77777777" w:rsidTr="002775AC">
        <w:trPr>
          <w:jc w:val="center"/>
        </w:trPr>
        <w:tc>
          <w:tcPr>
            <w:tcW w:w="4966" w:type="dxa"/>
          </w:tcPr>
          <w:p w14:paraId="7E491C3B" w14:textId="1DFF0165" w:rsidR="00072666" w:rsidRDefault="000C2D38" w:rsidP="00AD54A1">
            <w:pPr>
              <w:pStyle w:val="ListParagraph"/>
              <w:spacing w:after="0" w:line="240" w:lineRule="auto"/>
              <w:ind w:left="0"/>
              <w:jc w:val="center"/>
              <w:rPr>
                <w:rFonts w:cstheme="minorHAnsi"/>
                <w:sz w:val="20"/>
                <w:szCs w:val="20"/>
              </w:rPr>
            </w:pPr>
            <w:r>
              <w:rPr>
                <w:rFonts w:cstheme="minorHAnsi"/>
                <w:noProof/>
                <w:sz w:val="20"/>
                <w:szCs w:val="20"/>
              </w:rPr>
              <w:drawing>
                <wp:inline distT="0" distB="0" distL="0" distR="0" wp14:anchorId="5AE55149" wp14:editId="411AF0B6">
                  <wp:extent cx="3016800" cy="186120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800" cy="1861200"/>
                          </a:xfrm>
                          <a:prstGeom prst="rect">
                            <a:avLst/>
                          </a:prstGeom>
                          <a:noFill/>
                          <a:ln>
                            <a:noFill/>
                          </a:ln>
                        </pic:spPr>
                      </pic:pic>
                    </a:graphicData>
                  </a:graphic>
                </wp:inline>
              </w:drawing>
            </w:r>
          </w:p>
        </w:tc>
        <w:tc>
          <w:tcPr>
            <w:tcW w:w="4966" w:type="dxa"/>
          </w:tcPr>
          <w:p w14:paraId="55CCF699" w14:textId="30474A7C" w:rsidR="00072666" w:rsidRDefault="00AD54A1" w:rsidP="00AD54A1">
            <w:pPr>
              <w:pStyle w:val="ListParagraph"/>
              <w:spacing w:after="0" w:line="240" w:lineRule="auto"/>
              <w:ind w:left="0"/>
              <w:jc w:val="center"/>
              <w:rPr>
                <w:rFonts w:cstheme="minorHAnsi"/>
                <w:sz w:val="20"/>
                <w:szCs w:val="20"/>
              </w:rPr>
            </w:pPr>
            <w:r>
              <w:rPr>
                <w:rFonts w:cstheme="minorHAnsi"/>
                <w:noProof/>
                <w:sz w:val="20"/>
                <w:szCs w:val="20"/>
              </w:rPr>
              <w:drawing>
                <wp:inline distT="0" distB="0" distL="0" distR="0" wp14:anchorId="3A01553C" wp14:editId="602F9EA2">
                  <wp:extent cx="3016800" cy="188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800" cy="1886400"/>
                          </a:xfrm>
                          <a:prstGeom prst="rect">
                            <a:avLst/>
                          </a:prstGeom>
                          <a:noFill/>
                          <a:ln>
                            <a:noFill/>
                          </a:ln>
                        </pic:spPr>
                      </pic:pic>
                    </a:graphicData>
                  </a:graphic>
                </wp:inline>
              </w:drawing>
            </w:r>
          </w:p>
        </w:tc>
      </w:tr>
      <w:tr w:rsidR="00072666" w14:paraId="3904C9C5" w14:textId="77777777" w:rsidTr="002775AC">
        <w:trPr>
          <w:jc w:val="center"/>
        </w:trPr>
        <w:tc>
          <w:tcPr>
            <w:tcW w:w="4966" w:type="dxa"/>
          </w:tcPr>
          <w:p w14:paraId="013FA5C1" w14:textId="24AF86E6" w:rsidR="00072666" w:rsidRDefault="00B45B14" w:rsidP="00B45B14">
            <w:pPr>
              <w:pStyle w:val="ListParagraph"/>
              <w:spacing w:after="0" w:line="240" w:lineRule="auto"/>
              <w:ind w:left="0"/>
              <w:rPr>
                <w:rFonts w:cstheme="minorHAnsi"/>
                <w:sz w:val="20"/>
                <w:szCs w:val="20"/>
              </w:rPr>
            </w:pPr>
            <w:r>
              <w:rPr>
                <w:rFonts w:cstheme="minorHAnsi"/>
                <w:noProof/>
                <w:sz w:val="20"/>
                <w:szCs w:val="20"/>
              </w:rPr>
              <w:lastRenderedPageBreak/>
              <w:drawing>
                <wp:inline distT="0" distB="0" distL="0" distR="0" wp14:anchorId="7CD6F0B4" wp14:editId="5CDD30B6">
                  <wp:extent cx="3016800" cy="190440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800" cy="1904400"/>
                          </a:xfrm>
                          <a:prstGeom prst="rect">
                            <a:avLst/>
                          </a:prstGeom>
                          <a:noFill/>
                          <a:ln>
                            <a:noFill/>
                          </a:ln>
                        </pic:spPr>
                      </pic:pic>
                    </a:graphicData>
                  </a:graphic>
                </wp:inline>
              </w:drawing>
            </w:r>
          </w:p>
        </w:tc>
        <w:tc>
          <w:tcPr>
            <w:tcW w:w="4966" w:type="dxa"/>
          </w:tcPr>
          <w:p w14:paraId="01C68C66" w14:textId="22AB3CD3" w:rsidR="00072666" w:rsidRDefault="00AD54A1" w:rsidP="00AD54A1">
            <w:pPr>
              <w:pStyle w:val="ListParagraph"/>
              <w:spacing w:after="0" w:line="240" w:lineRule="auto"/>
              <w:ind w:left="0"/>
              <w:jc w:val="center"/>
              <w:rPr>
                <w:rFonts w:cstheme="minorHAnsi"/>
                <w:sz w:val="20"/>
                <w:szCs w:val="20"/>
              </w:rPr>
            </w:pPr>
            <w:r w:rsidRPr="00975EBF">
              <w:rPr>
                <w:rFonts w:ascii="Arial Narrow" w:hAnsi="Arial Narrow" w:cs="Arial"/>
                <w:b/>
                <w:noProof/>
              </w:rPr>
              <w:drawing>
                <wp:inline distT="0" distB="0" distL="0" distR="0" wp14:anchorId="1E492A58" wp14:editId="77EA3494">
                  <wp:extent cx="3016800" cy="1886400"/>
                  <wp:effectExtent l="0" t="0" r="0" b="0"/>
                  <wp:docPr id="25" name="Picture 2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800" cy="1886400"/>
                          </a:xfrm>
                          <a:prstGeom prst="rect">
                            <a:avLst/>
                          </a:prstGeom>
                          <a:noFill/>
                          <a:ln>
                            <a:noFill/>
                          </a:ln>
                        </pic:spPr>
                      </pic:pic>
                    </a:graphicData>
                  </a:graphic>
                </wp:inline>
              </w:drawing>
            </w:r>
          </w:p>
        </w:tc>
      </w:tr>
      <w:tr w:rsidR="00072666" w14:paraId="2695742B" w14:textId="77777777" w:rsidTr="002775AC">
        <w:trPr>
          <w:jc w:val="center"/>
        </w:trPr>
        <w:tc>
          <w:tcPr>
            <w:tcW w:w="4966" w:type="dxa"/>
          </w:tcPr>
          <w:p w14:paraId="07BD700F" w14:textId="69417D00" w:rsidR="00072666" w:rsidRDefault="00AD54A1" w:rsidP="00AD54A1">
            <w:pPr>
              <w:pStyle w:val="ListParagraph"/>
              <w:spacing w:after="0" w:line="240" w:lineRule="auto"/>
              <w:ind w:left="0"/>
              <w:jc w:val="center"/>
              <w:rPr>
                <w:rFonts w:cstheme="minorHAnsi"/>
                <w:sz w:val="20"/>
                <w:szCs w:val="20"/>
              </w:rPr>
            </w:pPr>
            <w:r>
              <w:rPr>
                <w:rFonts w:cstheme="minorHAnsi"/>
                <w:noProof/>
                <w:sz w:val="20"/>
                <w:szCs w:val="20"/>
              </w:rPr>
              <w:drawing>
                <wp:inline distT="0" distB="0" distL="0" distR="0" wp14:anchorId="10654684" wp14:editId="184EDD71">
                  <wp:extent cx="3016800" cy="187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800" cy="1875600"/>
                          </a:xfrm>
                          <a:prstGeom prst="rect">
                            <a:avLst/>
                          </a:prstGeom>
                          <a:noFill/>
                          <a:ln>
                            <a:noFill/>
                          </a:ln>
                        </pic:spPr>
                      </pic:pic>
                    </a:graphicData>
                  </a:graphic>
                </wp:inline>
              </w:drawing>
            </w:r>
          </w:p>
        </w:tc>
        <w:tc>
          <w:tcPr>
            <w:tcW w:w="4966" w:type="dxa"/>
          </w:tcPr>
          <w:p w14:paraId="0980A062" w14:textId="7AFF4DB8" w:rsidR="00072666" w:rsidRDefault="00AD54A1" w:rsidP="00AD54A1">
            <w:pPr>
              <w:pStyle w:val="ListParagraph"/>
              <w:spacing w:after="0" w:line="240" w:lineRule="auto"/>
              <w:ind w:left="0"/>
              <w:jc w:val="center"/>
              <w:rPr>
                <w:rFonts w:cstheme="minorHAnsi"/>
                <w:sz w:val="20"/>
                <w:szCs w:val="20"/>
              </w:rPr>
            </w:pPr>
            <w:r>
              <w:rPr>
                <w:rFonts w:cstheme="minorHAnsi"/>
                <w:noProof/>
                <w:sz w:val="20"/>
                <w:szCs w:val="20"/>
              </w:rPr>
              <w:drawing>
                <wp:inline distT="0" distB="0" distL="0" distR="0" wp14:anchorId="2F558F45" wp14:editId="006614A0">
                  <wp:extent cx="3016800" cy="188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00" cy="1886400"/>
                          </a:xfrm>
                          <a:prstGeom prst="rect">
                            <a:avLst/>
                          </a:prstGeom>
                          <a:noFill/>
                          <a:ln>
                            <a:noFill/>
                          </a:ln>
                        </pic:spPr>
                      </pic:pic>
                    </a:graphicData>
                  </a:graphic>
                </wp:inline>
              </w:drawing>
            </w:r>
          </w:p>
        </w:tc>
      </w:tr>
      <w:tr w:rsidR="00072666" w14:paraId="4EAA12A4" w14:textId="77777777" w:rsidTr="002775AC">
        <w:trPr>
          <w:jc w:val="center"/>
        </w:trPr>
        <w:tc>
          <w:tcPr>
            <w:tcW w:w="4966" w:type="dxa"/>
          </w:tcPr>
          <w:p w14:paraId="4E9661AC" w14:textId="5B4ECBE4" w:rsidR="00072666" w:rsidRDefault="00AD54A1" w:rsidP="00AD54A1">
            <w:pPr>
              <w:pStyle w:val="ListParagraph"/>
              <w:spacing w:after="0" w:line="240" w:lineRule="auto"/>
              <w:ind w:left="0"/>
              <w:jc w:val="center"/>
              <w:rPr>
                <w:rFonts w:cstheme="minorHAnsi"/>
                <w:sz w:val="20"/>
                <w:szCs w:val="20"/>
              </w:rPr>
            </w:pPr>
            <w:r w:rsidRPr="00975EBF">
              <w:rPr>
                <w:rFonts w:ascii="Arial Narrow" w:hAnsi="Arial Narrow" w:cs="Arial"/>
                <w:b/>
                <w:noProof/>
              </w:rPr>
              <w:drawing>
                <wp:inline distT="0" distB="0" distL="0" distR="0" wp14:anchorId="78F0CA55" wp14:editId="488F1D48">
                  <wp:extent cx="3016800" cy="1879200"/>
                  <wp:effectExtent l="0" t="0" r="0" b="698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800" cy="1879200"/>
                          </a:xfrm>
                          <a:prstGeom prst="rect">
                            <a:avLst/>
                          </a:prstGeom>
                          <a:noFill/>
                          <a:ln>
                            <a:noFill/>
                          </a:ln>
                        </pic:spPr>
                      </pic:pic>
                    </a:graphicData>
                  </a:graphic>
                </wp:inline>
              </w:drawing>
            </w:r>
          </w:p>
        </w:tc>
        <w:tc>
          <w:tcPr>
            <w:tcW w:w="4966" w:type="dxa"/>
          </w:tcPr>
          <w:p w14:paraId="7A2DEB55" w14:textId="5B0571E3" w:rsidR="00072666" w:rsidRDefault="00AD54A1" w:rsidP="00AD54A1">
            <w:pPr>
              <w:pStyle w:val="ListParagraph"/>
              <w:spacing w:after="0" w:line="240" w:lineRule="auto"/>
              <w:ind w:left="0"/>
              <w:jc w:val="center"/>
              <w:rPr>
                <w:rFonts w:cstheme="minorHAnsi"/>
                <w:sz w:val="20"/>
                <w:szCs w:val="20"/>
              </w:rPr>
            </w:pPr>
            <w:r>
              <w:rPr>
                <w:rFonts w:cstheme="minorHAnsi"/>
                <w:noProof/>
                <w:sz w:val="20"/>
                <w:szCs w:val="20"/>
              </w:rPr>
              <w:drawing>
                <wp:inline distT="0" distB="0" distL="0" distR="0" wp14:anchorId="7AEEE59B" wp14:editId="39EB6AD6">
                  <wp:extent cx="3016800" cy="18792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800" cy="1879200"/>
                          </a:xfrm>
                          <a:prstGeom prst="rect">
                            <a:avLst/>
                          </a:prstGeom>
                          <a:noFill/>
                          <a:ln>
                            <a:noFill/>
                          </a:ln>
                        </pic:spPr>
                      </pic:pic>
                    </a:graphicData>
                  </a:graphic>
                </wp:inline>
              </w:drawing>
            </w:r>
          </w:p>
        </w:tc>
      </w:tr>
      <w:tr w:rsidR="00072666" w14:paraId="3576205A" w14:textId="77777777" w:rsidTr="002775AC">
        <w:trPr>
          <w:jc w:val="center"/>
        </w:trPr>
        <w:tc>
          <w:tcPr>
            <w:tcW w:w="4966" w:type="dxa"/>
          </w:tcPr>
          <w:p w14:paraId="6D99F3AB" w14:textId="6D9F58AF" w:rsidR="00072666" w:rsidRDefault="00AD54A1" w:rsidP="00AD54A1">
            <w:pPr>
              <w:pStyle w:val="ListParagraph"/>
              <w:spacing w:after="0" w:line="240" w:lineRule="auto"/>
              <w:ind w:left="0"/>
              <w:jc w:val="center"/>
              <w:rPr>
                <w:rFonts w:cstheme="minorHAnsi"/>
                <w:sz w:val="20"/>
                <w:szCs w:val="20"/>
              </w:rPr>
            </w:pPr>
            <w:r w:rsidRPr="00975EBF">
              <w:rPr>
                <w:rFonts w:ascii="Arial Narrow" w:hAnsi="Arial Narrow" w:cs="Arial"/>
                <w:b/>
                <w:noProof/>
              </w:rPr>
              <w:drawing>
                <wp:inline distT="0" distB="0" distL="0" distR="0" wp14:anchorId="151A2FC2" wp14:editId="28A6D475">
                  <wp:extent cx="3016800" cy="1890000"/>
                  <wp:effectExtent l="0" t="0" r="0" b="0"/>
                  <wp:docPr id="29" name="Picture 29"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businesscar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6800" cy="1890000"/>
                          </a:xfrm>
                          <a:prstGeom prst="rect">
                            <a:avLst/>
                          </a:prstGeom>
                          <a:noFill/>
                          <a:ln>
                            <a:noFill/>
                          </a:ln>
                        </pic:spPr>
                      </pic:pic>
                    </a:graphicData>
                  </a:graphic>
                </wp:inline>
              </w:drawing>
            </w:r>
          </w:p>
        </w:tc>
        <w:tc>
          <w:tcPr>
            <w:tcW w:w="4966" w:type="dxa"/>
          </w:tcPr>
          <w:p w14:paraId="4625DC02" w14:textId="77777777" w:rsidR="00072666" w:rsidRDefault="00072666" w:rsidP="006E10DD">
            <w:pPr>
              <w:pStyle w:val="ListParagraph"/>
              <w:spacing w:after="0" w:line="240" w:lineRule="auto"/>
              <w:ind w:left="0"/>
              <w:rPr>
                <w:rFonts w:cstheme="minorHAnsi"/>
                <w:sz w:val="20"/>
                <w:szCs w:val="20"/>
              </w:rPr>
            </w:pPr>
          </w:p>
        </w:tc>
      </w:tr>
    </w:tbl>
    <w:p w14:paraId="295BA918" w14:textId="68F521AF" w:rsidR="00E80F37" w:rsidRPr="00376484" w:rsidRDefault="006952B3" w:rsidP="006952B3">
      <w:pPr>
        <w:jc w:val="center"/>
        <w:rPr>
          <w:rFonts w:ascii="Tenorite" w:hAnsi="Tenorite" w:cstheme="minorHAnsi"/>
          <w:b/>
          <w:color w:val="FF4494"/>
          <w:sz w:val="28"/>
          <w:szCs w:val="28"/>
        </w:rPr>
      </w:pPr>
      <w:r>
        <w:rPr>
          <w:rFonts w:ascii="Tenorite" w:hAnsi="Tenorite" w:cstheme="minorHAnsi"/>
          <w:b/>
          <w:color w:val="FF4494"/>
          <w:sz w:val="28"/>
          <w:szCs w:val="28"/>
        </w:rPr>
        <w:t>ALWAYS USE THUMBS UP APPROACH</w:t>
      </w:r>
      <w:r w:rsidR="006E10DD" w:rsidRPr="00376484">
        <w:rPr>
          <w:rFonts w:ascii="Tenorite" w:hAnsi="Tenorite" w:cstheme="minorHAnsi"/>
          <w:b/>
          <w:color w:val="FF4494"/>
          <w:sz w:val="28"/>
          <w:szCs w:val="28"/>
        </w:rPr>
        <w:t xml:space="preserve"> - BE SEEN &amp; BE SAFE!</w:t>
      </w:r>
    </w:p>
    <w:sectPr w:rsidR="00E80F37" w:rsidRPr="00376484" w:rsidSect="000E55DC">
      <w:headerReference w:type="default" r:id="rId23"/>
      <w:footerReference w:type="default" r:id="rId24"/>
      <w:type w:val="continuous"/>
      <w:pgSz w:w="11906" w:h="16838" w:code="9"/>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660AF" w14:textId="77777777" w:rsidR="0072219F" w:rsidRDefault="0072219F">
      <w:r>
        <w:separator/>
      </w:r>
    </w:p>
  </w:endnote>
  <w:endnote w:type="continuationSeparator" w:id="0">
    <w:p w14:paraId="7287AC44" w14:textId="77777777" w:rsidR="0072219F" w:rsidRDefault="0072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4F8D" w14:textId="5B5ADEAE" w:rsidR="00514C29" w:rsidRPr="009C2D33" w:rsidRDefault="009C2D33">
    <w:pPr>
      <w:pStyle w:val="Footer"/>
      <w:rPr>
        <w:rFonts w:ascii="Tenorite" w:hAnsi="Tenorite"/>
        <w:color w:val="140A2C"/>
        <w:sz w:val="22"/>
        <w:szCs w:val="22"/>
      </w:rPr>
    </w:pPr>
    <w:r w:rsidRPr="009C2D33">
      <w:rPr>
        <w:rFonts w:ascii="Tenorite" w:hAnsi="Tenorite"/>
        <w:color w:val="140A2C"/>
        <w:sz w:val="22"/>
        <w:szCs w:val="22"/>
      </w:rPr>
      <w:t>Contact the SHEA Team for further guidance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66E46" w14:textId="77777777" w:rsidR="0072219F" w:rsidRDefault="0072219F">
      <w:r>
        <w:separator/>
      </w:r>
    </w:p>
  </w:footnote>
  <w:footnote w:type="continuationSeparator" w:id="0">
    <w:p w14:paraId="3AD91ED7" w14:textId="77777777" w:rsidR="0072219F" w:rsidRDefault="00722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5" w:type="dxa"/>
        <w:left w:w="85" w:type="dxa"/>
        <w:bottom w:w="85" w:type="dxa"/>
        <w:right w:w="85" w:type="dxa"/>
      </w:tblCellMar>
      <w:tblLook w:val="00A0" w:firstRow="1" w:lastRow="0" w:firstColumn="1" w:lastColumn="0" w:noHBand="0" w:noVBand="0"/>
    </w:tblPr>
    <w:tblGrid>
      <w:gridCol w:w="2269"/>
      <w:gridCol w:w="3827"/>
      <w:gridCol w:w="851"/>
      <w:gridCol w:w="2976"/>
    </w:tblGrid>
    <w:tr w:rsidR="000E55DC" w:rsidRPr="000E55DC" w14:paraId="32B9CD2E" w14:textId="77777777" w:rsidTr="00CC4FE1">
      <w:trPr>
        <w:trHeight w:val="337"/>
      </w:trPr>
      <w:tc>
        <w:tcPr>
          <w:tcW w:w="2269" w:type="dxa"/>
          <w:shd w:val="clear" w:color="auto" w:fill="auto"/>
        </w:tcPr>
        <w:p w14:paraId="2B2C4845" w14:textId="77777777" w:rsidR="000E55DC" w:rsidRPr="009C2D33" w:rsidRDefault="000E55DC" w:rsidP="000E55DC">
          <w:pPr>
            <w:keepNext/>
            <w:outlineLvl w:val="2"/>
            <w:rPr>
              <w:rFonts w:ascii="Tenorite" w:hAnsi="Tenorite" w:cs="Arial"/>
              <w:bCs/>
              <w:color w:val="140A2C"/>
              <w:sz w:val="22"/>
              <w:szCs w:val="28"/>
            </w:rPr>
          </w:pPr>
          <w:r w:rsidRPr="009C2D33">
            <w:rPr>
              <w:rFonts w:ascii="Tenorite" w:hAnsi="Tenorite" w:cs="Arial"/>
              <w:bCs/>
              <w:color w:val="140A2C"/>
              <w:sz w:val="22"/>
              <w:szCs w:val="28"/>
            </w:rPr>
            <w:t>Document Ref</w:t>
          </w:r>
        </w:p>
      </w:tc>
      <w:tc>
        <w:tcPr>
          <w:tcW w:w="7654" w:type="dxa"/>
          <w:gridSpan w:val="3"/>
          <w:shd w:val="clear" w:color="auto" w:fill="auto"/>
        </w:tcPr>
        <w:p w14:paraId="5CDD595B" w14:textId="37C1F491" w:rsidR="000E55DC" w:rsidRPr="009C2D33" w:rsidRDefault="009E2C15" w:rsidP="000E55DC">
          <w:pPr>
            <w:spacing w:line="276" w:lineRule="auto"/>
            <w:rPr>
              <w:rFonts w:ascii="Tenorite" w:eastAsia="Calibri" w:hAnsi="Tenorite"/>
              <w:bCs/>
              <w:color w:val="140A2C"/>
              <w:sz w:val="22"/>
              <w:szCs w:val="28"/>
            </w:rPr>
          </w:pPr>
          <w:r>
            <w:rPr>
              <w:rFonts w:ascii="Tenorite" w:hAnsi="Tenorite"/>
              <w:noProof/>
            </w:rPr>
            <w:drawing>
              <wp:anchor distT="0" distB="0" distL="114300" distR="114300" simplePos="0" relativeHeight="251657728" behindDoc="0" locked="0" layoutInCell="1" allowOverlap="1" wp14:anchorId="7E3B77EA" wp14:editId="1BC83B00">
                <wp:simplePos x="0" y="0"/>
                <wp:positionH relativeFrom="column">
                  <wp:posOffset>3728720</wp:posOffset>
                </wp:positionH>
                <wp:positionV relativeFrom="paragraph">
                  <wp:posOffset>-43815</wp:posOffset>
                </wp:positionV>
                <wp:extent cx="1054735" cy="647065"/>
                <wp:effectExtent l="0" t="0" r="0" b="0"/>
                <wp:wrapNone/>
                <wp:docPr id="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647065"/>
                        </a:xfrm>
                        <a:prstGeom prst="rect">
                          <a:avLst/>
                        </a:prstGeom>
                        <a:noFill/>
                      </pic:spPr>
                    </pic:pic>
                  </a:graphicData>
                </a:graphic>
                <wp14:sizeRelH relativeFrom="margin">
                  <wp14:pctWidth>0</wp14:pctWidth>
                </wp14:sizeRelH>
                <wp14:sizeRelV relativeFrom="margin">
                  <wp14:pctHeight>0</wp14:pctHeight>
                </wp14:sizeRelV>
              </wp:anchor>
            </w:drawing>
          </w:r>
          <w:r w:rsidR="000E55DC" w:rsidRPr="009C2D33">
            <w:rPr>
              <w:rFonts w:ascii="Tenorite" w:eastAsia="Calibri" w:hAnsi="Tenorite"/>
              <w:bCs/>
              <w:color w:val="140A2C"/>
              <w:sz w:val="22"/>
              <w:szCs w:val="28"/>
            </w:rPr>
            <w:t xml:space="preserve"> INF-SHE-</w:t>
          </w:r>
          <w:r w:rsidR="009C2D33" w:rsidRPr="009C2D33">
            <w:rPr>
              <w:rFonts w:ascii="Tenorite" w:eastAsia="Calibri" w:hAnsi="Tenorite"/>
              <w:bCs/>
              <w:color w:val="140A2C"/>
              <w:sz w:val="22"/>
              <w:szCs w:val="28"/>
            </w:rPr>
            <w:t>TBT</w:t>
          </w:r>
          <w:r w:rsidR="000E55DC" w:rsidRPr="009C2D33">
            <w:rPr>
              <w:rFonts w:ascii="Tenorite" w:eastAsia="Calibri" w:hAnsi="Tenorite"/>
              <w:bCs/>
              <w:color w:val="140A2C"/>
              <w:sz w:val="22"/>
              <w:szCs w:val="28"/>
            </w:rPr>
            <w:t>-</w:t>
          </w:r>
          <w:r w:rsidR="001D7A10">
            <w:rPr>
              <w:rFonts w:ascii="Tenorite" w:eastAsia="Calibri" w:hAnsi="Tenorite"/>
              <w:bCs/>
              <w:color w:val="140A2C"/>
              <w:sz w:val="22"/>
              <w:szCs w:val="28"/>
            </w:rPr>
            <w:t>????</w:t>
          </w:r>
          <w:r w:rsidR="000E55DC" w:rsidRPr="009C2D33">
            <w:rPr>
              <w:rFonts w:ascii="Tenorite" w:eastAsia="Calibri" w:hAnsi="Tenorite"/>
              <w:bCs/>
              <w:color w:val="140A2C"/>
              <w:sz w:val="22"/>
              <w:szCs w:val="28"/>
            </w:rPr>
            <w:t>-</w:t>
          </w:r>
          <w:r w:rsidR="008572A2">
            <w:rPr>
              <w:rFonts w:ascii="Tenorite" w:eastAsia="Calibri" w:hAnsi="Tenorite"/>
              <w:bCs/>
              <w:color w:val="140A2C"/>
              <w:sz w:val="22"/>
              <w:szCs w:val="28"/>
            </w:rPr>
            <w:t>????</w:t>
          </w:r>
        </w:p>
      </w:tc>
    </w:tr>
    <w:tr w:rsidR="000E55DC" w:rsidRPr="000E55DC" w14:paraId="78944851" w14:textId="77777777" w:rsidTr="00CC4FE1">
      <w:trPr>
        <w:trHeight w:val="373"/>
      </w:trPr>
      <w:tc>
        <w:tcPr>
          <w:tcW w:w="2269" w:type="dxa"/>
          <w:shd w:val="clear" w:color="auto" w:fill="auto"/>
        </w:tcPr>
        <w:p w14:paraId="1D011E60" w14:textId="77777777" w:rsidR="000E55DC" w:rsidRPr="009C2D33" w:rsidRDefault="000E55DC" w:rsidP="000E55DC">
          <w:pPr>
            <w:keepNext/>
            <w:outlineLvl w:val="2"/>
            <w:rPr>
              <w:rFonts w:ascii="Tenorite" w:hAnsi="Tenorite" w:cs="Arial"/>
              <w:bCs/>
              <w:color w:val="140A2C"/>
              <w:sz w:val="22"/>
              <w:szCs w:val="28"/>
            </w:rPr>
          </w:pPr>
          <w:r w:rsidRPr="009C2D33">
            <w:rPr>
              <w:rFonts w:ascii="Tenorite" w:hAnsi="Tenorite" w:cs="Arial"/>
              <w:bCs/>
              <w:color w:val="140A2C"/>
              <w:sz w:val="22"/>
              <w:szCs w:val="28"/>
            </w:rPr>
            <w:t>Title</w:t>
          </w:r>
        </w:p>
      </w:tc>
      <w:tc>
        <w:tcPr>
          <w:tcW w:w="7654" w:type="dxa"/>
          <w:gridSpan w:val="3"/>
          <w:shd w:val="clear" w:color="auto" w:fill="auto"/>
        </w:tcPr>
        <w:p w14:paraId="4EF71959" w14:textId="3982C385" w:rsidR="000E55DC" w:rsidRPr="009C2D33" w:rsidRDefault="001D7A10" w:rsidP="000E55DC">
          <w:pPr>
            <w:spacing w:line="276" w:lineRule="auto"/>
            <w:rPr>
              <w:rFonts w:ascii="Tenorite" w:eastAsia="Calibri" w:hAnsi="Tenorite"/>
              <w:bCs/>
              <w:noProof/>
              <w:color w:val="140A2C"/>
              <w:sz w:val="22"/>
              <w:szCs w:val="28"/>
              <w:lang w:eastAsia="en-GB"/>
            </w:rPr>
          </w:pPr>
          <w:r>
            <w:rPr>
              <w:rFonts w:ascii="Tenorite" w:eastAsia="Calibri" w:hAnsi="Tenorite"/>
              <w:bCs/>
              <w:noProof/>
              <w:color w:val="140A2C"/>
              <w:sz w:val="22"/>
              <w:szCs w:val="28"/>
              <w:lang w:eastAsia="en-GB"/>
            </w:rPr>
            <w:t>Plant Exlusion Zones</w:t>
          </w:r>
          <w:r w:rsidR="00DA1C2E">
            <w:rPr>
              <w:rFonts w:ascii="Tenorite" w:eastAsia="Calibri" w:hAnsi="Tenorite"/>
              <w:bCs/>
              <w:noProof/>
              <w:color w:val="140A2C"/>
              <w:sz w:val="22"/>
              <w:szCs w:val="28"/>
              <w:lang w:eastAsia="en-GB"/>
            </w:rPr>
            <w:t xml:space="preserve"> &amp; Thum</w:t>
          </w:r>
          <w:r w:rsidR="00404697">
            <w:rPr>
              <w:rFonts w:ascii="Tenorite" w:eastAsia="Calibri" w:hAnsi="Tenorite"/>
              <w:bCs/>
              <w:noProof/>
              <w:color w:val="140A2C"/>
              <w:sz w:val="22"/>
              <w:szCs w:val="28"/>
              <w:lang w:eastAsia="en-GB"/>
            </w:rPr>
            <w:t>bs UP Approach</w:t>
          </w:r>
        </w:p>
      </w:tc>
    </w:tr>
    <w:tr w:rsidR="000E55DC" w:rsidRPr="000E55DC" w14:paraId="24E61E0D" w14:textId="77777777" w:rsidTr="00CC4FE1">
      <w:trPr>
        <w:trHeight w:val="124"/>
      </w:trPr>
      <w:tc>
        <w:tcPr>
          <w:tcW w:w="2269" w:type="dxa"/>
          <w:shd w:val="clear" w:color="auto" w:fill="auto"/>
        </w:tcPr>
        <w:p w14:paraId="6BA73539" w14:textId="77777777" w:rsidR="000E55DC" w:rsidRPr="009C2D33" w:rsidRDefault="000E55DC" w:rsidP="000E55DC">
          <w:pPr>
            <w:keepNext/>
            <w:outlineLvl w:val="2"/>
            <w:rPr>
              <w:rFonts w:ascii="Tenorite" w:hAnsi="Tenorite" w:cs="Arial"/>
              <w:bCs/>
              <w:color w:val="140A2C"/>
              <w:sz w:val="22"/>
              <w:szCs w:val="28"/>
            </w:rPr>
          </w:pPr>
          <w:r w:rsidRPr="009C2D33">
            <w:rPr>
              <w:rFonts w:ascii="Tenorite" w:hAnsi="Tenorite" w:cs="Arial"/>
              <w:bCs/>
              <w:color w:val="140A2C"/>
              <w:sz w:val="22"/>
              <w:szCs w:val="28"/>
            </w:rPr>
            <w:t>Document Type</w:t>
          </w:r>
        </w:p>
      </w:tc>
      <w:tc>
        <w:tcPr>
          <w:tcW w:w="7654" w:type="dxa"/>
          <w:gridSpan w:val="3"/>
          <w:shd w:val="clear" w:color="auto" w:fill="auto"/>
        </w:tcPr>
        <w:p w14:paraId="08B1B7D5" w14:textId="24CAD4AD" w:rsidR="000E55DC" w:rsidRPr="009C2D33" w:rsidRDefault="009C2D33" w:rsidP="000E55DC">
          <w:pPr>
            <w:spacing w:line="276" w:lineRule="auto"/>
            <w:rPr>
              <w:rFonts w:ascii="Tenorite" w:eastAsia="Calibri" w:hAnsi="Tenorite"/>
              <w:bCs/>
              <w:color w:val="140A2C"/>
              <w:sz w:val="22"/>
              <w:szCs w:val="28"/>
            </w:rPr>
          </w:pPr>
          <w:r w:rsidRPr="009C2D33">
            <w:rPr>
              <w:rFonts w:ascii="Tenorite" w:eastAsia="Calibri" w:hAnsi="Tenorite"/>
              <w:bCs/>
              <w:color w:val="140A2C"/>
              <w:sz w:val="22"/>
              <w:szCs w:val="28"/>
            </w:rPr>
            <w:t>Toolbox Talk</w:t>
          </w:r>
        </w:p>
      </w:tc>
    </w:tr>
    <w:tr w:rsidR="000E55DC" w:rsidRPr="000E55DC" w14:paraId="05975B84" w14:textId="77777777" w:rsidTr="00CC4FE1">
      <w:trPr>
        <w:trHeight w:val="123"/>
      </w:trPr>
      <w:tc>
        <w:tcPr>
          <w:tcW w:w="2269" w:type="dxa"/>
          <w:shd w:val="clear" w:color="auto" w:fill="auto"/>
        </w:tcPr>
        <w:p w14:paraId="2B1BB0FD" w14:textId="77777777" w:rsidR="000E55DC" w:rsidRPr="009C2D33" w:rsidRDefault="000E55DC" w:rsidP="000E55DC">
          <w:pPr>
            <w:keepNext/>
            <w:outlineLvl w:val="2"/>
            <w:rPr>
              <w:rFonts w:ascii="Tenorite" w:hAnsi="Tenorite" w:cs="Arial"/>
              <w:bCs/>
              <w:color w:val="140A2C"/>
              <w:sz w:val="22"/>
              <w:szCs w:val="28"/>
            </w:rPr>
          </w:pPr>
          <w:r w:rsidRPr="009C2D33">
            <w:rPr>
              <w:rFonts w:ascii="Tenorite" w:hAnsi="Tenorite" w:cs="Arial"/>
              <w:bCs/>
              <w:color w:val="140A2C"/>
              <w:sz w:val="22"/>
              <w:szCs w:val="28"/>
            </w:rPr>
            <w:t>Issue Number</w:t>
          </w:r>
        </w:p>
      </w:tc>
      <w:tc>
        <w:tcPr>
          <w:tcW w:w="3827" w:type="dxa"/>
          <w:shd w:val="clear" w:color="auto" w:fill="auto"/>
        </w:tcPr>
        <w:p w14:paraId="6061B2B3" w14:textId="4460EBFB" w:rsidR="000E55DC" w:rsidRPr="009C2D33" w:rsidRDefault="00DC317A" w:rsidP="000E55DC">
          <w:pPr>
            <w:spacing w:line="276" w:lineRule="auto"/>
            <w:rPr>
              <w:rFonts w:ascii="Tenorite" w:eastAsia="Calibri" w:hAnsi="Tenorite"/>
              <w:bCs/>
              <w:color w:val="140A2C"/>
              <w:sz w:val="22"/>
              <w:szCs w:val="28"/>
            </w:rPr>
          </w:pPr>
          <w:r>
            <w:rPr>
              <w:rFonts w:ascii="Tenorite" w:eastAsia="Calibri" w:hAnsi="Tenorite"/>
              <w:bCs/>
              <w:color w:val="140A2C"/>
              <w:sz w:val="22"/>
              <w:szCs w:val="28"/>
            </w:rPr>
            <w:t>1</w:t>
          </w:r>
          <w:r w:rsidR="000E55DC" w:rsidRPr="009C2D33">
            <w:rPr>
              <w:rFonts w:ascii="Tenorite" w:eastAsia="Calibri" w:hAnsi="Tenorite"/>
              <w:bCs/>
              <w:color w:val="140A2C"/>
              <w:sz w:val="22"/>
              <w:szCs w:val="28"/>
            </w:rPr>
            <w:t>.0</w:t>
          </w:r>
        </w:p>
      </w:tc>
      <w:tc>
        <w:tcPr>
          <w:tcW w:w="851" w:type="dxa"/>
          <w:shd w:val="clear" w:color="auto" w:fill="auto"/>
        </w:tcPr>
        <w:p w14:paraId="1F11603C" w14:textId="77777777" w:rsidR="000E55DC" w:rsidRPr="009C2D33" w:rsidRDefault="000E55DC" w:rsidP="000E55DC">
          <w:pPr>
            <w:keepNext/>
            <w:outlineLvl w:val="2"/>
            <w:rPr>
              <w:rFonts w:ascii="Tenorite" w:hAnsi="Tenorite" w:cs="Arial"/>
              <w:bCs/>
              <w:color w:val="140A2C"/>
              <w:sz w:val="22"/>
              <w:szCs w:val="28"/>
            </w:rPr>
          </w:pPr>
          <w:r w:rsidRPr="009C2D33">
            <w:rPr>
              <w:rFonts w:ascii="Tenorite" w:hAnsi="Tenorite" w:cs="Arial"/>
              <w:bCs/>
              <w:color w:val="140A2C"/>
              <w:sz w:val="22"/>
              <w:szCs w:val="28"/>
            </w:rPr>
            <w:t>Date</w:t>
          </w:r>
        </w:p>
      </w:tc>
      <w:tc>
        <w:tcPr>
          <w:tcW w:w="2976" w:type="dxa"/>
          <w:shd w:val="clear" w:color="auto" w:fill="auto"/>
        </w:tcPr>
        <w:p w14:paraId="78A5A427" w14:textId="6F36C3B2" w:rsidR="000E55DC" w:rsidRPr="009C2D33" w:rsidRDefault="00DC317A" w:rsidP="000E55DC">
          <w:pPr>
            <w:spacing w:line="276" w:lineRule="auto"/>
            <w:rPr>
              <w:rFonts w:ascii="Tenorite" w:eastAsia="Calibri" w:hAnsi="Tenorite"/>
              <w:bCs/>
              <w:color w:val="140A2C"/>
              <w:sz w:val="22"/>
              <w:szCs w:val="28"/>
            </w:rPr>
          </w:pPr>
          <w:r>
            <w:rPr>
              <w:rFonts w:ascii="Tenorite" w:eastAsia="Calibri" w:hAnsi="Tenorite"/>
              <w:bCs/>
              <w:color w:val="140A2C"/>
              <w:sz w:val="22"/>
              <w:szCs w:val="28"/>
            </w:rPr>
            <w:t>20</w:t>
          </w:r>
          <w:r w:rsidR="00010F76" w:rsidRPr="009C2D33">
            <w:rPr>
              <w:rFonts w:ascii="Tenorite" w:eastAsia="Calibri" w:hAnsi="Tenorite"/>
              <w:bCs/>
              <w:color w:val="140A2C"/>
              <w:sz w:val="22"/>
              <w:szCs w:val="28"/>
            </w:rPr>
            <w:t>/</w:t>
          </w:r>
          <w:r w:rsidR="000E55DC" w:rsidRPr="009C2D33">
            <w:rPr>
              <w:rFonts w:ascii="Tenorite" w:eastAsia="Calibri" w:hAnsi="Tenorite"/>
              <w:bCs/>
              <w:color w:val="140A2C"/>
              <w:sz w:val="22"/>
              <w:szCs w:val="28"/>
            </w:rPr>
            <w:t>0</w:t>
          </w:r>
          <w:r>
            <w:rPr>
              <w:rFonts w:ascii="Tenorite" w:eastAsia="Calibri" w:hAnsi="Tenorite"/>
              <w:bCs/>
              <w:color w:val="140A2C"/>
              <w:sz w:val="22"/>
              <w:szCs w:val="28"/>
            </w:rPr>
            <w:t>9</w:t>
          </w:r>
          <w:r w:rsidR="00010F76" w:rsidRPr="009C2D33">
            <w:rPr>
              <w:rFonts w:ascii="Tenorite" w:eastAsia="Calibri" w:hAnsi="Tenorite"/>
              <w:bCs/>
              <w:color w:val="140A2C"/>
              <w:sz w:val="22"/>
              <w:szCs w:val="28"/>
            </w:rPr>
            <w:t>/</w:t>
          </w:r>
          <w:r w:rsidR="000E55DC" w:rsidRPr="009C2D33">
            <w:rPr>
              <w:rFonts w:ascii="Tenorite" w:eastAsia="Calibri" w:hAnsi="Tenorite"/>
              <w:bCs/>
              <w:color w:val="140A2C"/>
              <w:sz w:val="22"/>
              <w:szCs w:val="28"/>
            </w:rPr>
            <w:t>2022</w:t>
          </w:r>
        </w:p>
      </w:tc>
    </w:tr>
  </w:tbl>
  <w:p w14:paraId="6CA794ED" w14:textId="77777777" w:rsidR="00017667" w:rsidRDefault="00017667" w:rsidP="000E55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1124"/>
    <w:multiLevelType w:val="hybridMultilevel"/>
    <w:tmpl w:val="95EC2A58"/>
    <w:lvl w:ilvl="0" w:tplc="DB54A96A">
      <w:start w:val="1"/>
      <w:numFmt w:val="bullet"/>
      <w:lvlText w:val="•"/>
      <w:lvlJc w:val="left"/>
      <w:pPr>
        <w:tabs>
          <w:tab w:val="num" w:pos="720"/>
        </w:tabs>
        <w:ind w:left="720" w:hanging="360"/>
      </w:pPr>
      <w:rPr>
        <w:rFonts w:ascii="Arial" w:hAnsi="Arial" w:hint="default"/>
      </w:rPr>
    </w:lvl>
    <w:lvl w:ilvl="1" w:tplc="EF5419DE" w:tentative="1">
      <w:start w:val="1"/>
      <w:numFmt w:val="bullet"/>
      <w:lvlText w:val="•"/>
      <w:lvlJc w:val="left"/>
      <w:pPr>
        <w:tabs>
          <w:tab w:val="num" w:pos="1440"/>
        </w:tabs>
        <w:ind w:left="1440" w:hanging="360"/>
      </w:pPr>
      <w:rPr>
        <w:rFonts w:ascii="Arial" w:hAnsi="Arial" w:hint="default"/>
      </w:rPr>
    </w:lvl>
    <w:lvl w:ilvl="2" w:tplc="CB32C200" w:tentative="1">
      <w:start w:val="1"/>
      <w:numFmt w:val="bullet"/>
      <w:lvlText w:val="•"/>
      <w:lvlJc w:val="left"/>
      <w:pPr>
        <w:tabs>
          <w:tab w:val="num" w:pos="2160"/>
        </w:tabs>
        <w:ind w:left="2160" w:hanging="360"/>
      </w:pPr>
      <w:rPr>
        <w:rFonts w:ascii="Arial" w:hAnsi="Arial" w:hint="default"/>
      </w:rPr>
    </w:lvl>
    <w:lvl w:ilvl="3" w:tplc="35D6BA98" w:tentative="1">
      <w:start w:val="1"/>
      <w:numFmt w:val="bullet"/>
      <w:lvlText w:val="•"/>
      <w:lvlJc w:val="left"/>
      <w:pPr>
        <w:tabs>
          <w:tab w:val="num" w:pos="2880"/>
        </w:tabs>
        <w:ind w:left="2880" w:hanging="360"/>
      </w:pPr>
      <w:rPr>
        <w:rFonts w:ascii="Arial" w:hAnsi="Arial" w:hint="default"/>
      </w:rPr>
    </w:lvl>
    <w:lvl w:ilvl="4" w:tplc="0E58C82E" w:tentative="1">
      <w:start w:val="1"/>
      <w:numFmt w:val="bullet"/>
      <w:lvlText w:val="•"/>
      <w:lvlJc w:val="left"/>
      <w:pPr>
        <w:tabs>
          <w:tab w:val="num" w:pos="3600"/>
        </w:tabs>
        <w:ind w:left="3600" w:hanging="360"/>
      </w:pPr>
      <w:rPr>
        <w:rFonts w:ascii="Arial" w:hAnsi="Arial" w:hint="default"/>
      </w:rPr>
    </w:lvl>
    <w:lvl w:ilvl="5" w:tplc="31805FBE" w:tentative="1">
      <w:start w:val="1"/>
      <w:numFmt w:val="bullet"/>
      <w:lvlText w:val="•"/>
      <w:lvlJc w:val="left"/>
      <w:pPr>
        <w:tabs>
          <w:tab w:val="num" w:pos="4320"/>
        </w:tabs>
        <w:ind w:left="4320" w:hanging="360"/>
      </w:pPr>
      <w:rPr>
        <w:rFonts w:ascii="Arial" w:hAnsi="Arial" w:hint="default"/>
      </w:rPr>
    </w:lvl>
    <w:lvl w:ilvl="6" w:tplc="78F26B7E" w:tentative="1">
      <w:start w:val="1"/>
      <w:numFmt w:val="bullet"/>
      <w:lvlText w:val="•"/>
      <w:lvlJc w:val="left"/>
      <w:pPr>
        <w:tabs>
          <w:tab w:val="num" w:pos="5040"/>
        </w:tabs>
        <w:ind w:left="5040" w:hanging="360"/>
      </w:pPr>
      <w:rPr>
        <w:rFonts w:ascii="Arial" w:hAnsi="Arial" w:hint="default"/>
      </w:rPr>
    </w:lvl>
    <w:lvl w:ilvl="7" w:tplc="1996F61E" w:tentative="1">
      <w:start w:val="1"/>
      <w:numFmt w:val="bullet"/>
      <w:lvlText w:val="•"/>
      <w:lvlJc w:val="left"/>
      <w:pPr>
        <w:tabs>
          <w:tab w:val="num" w:pos="5760"/>
        </w:tabs>
        <w:ind w:left="5760" w:hanging="360"/>
      </w:pPr>
      <w:rPr>
        <w:rFonts w:ascii="Arial" w:hAnsi="Arial" w:hint="default"/>
      </w:rPr>
    </w:lvl>
    <w:lvl w:ilvl="8" w:tplc="936C14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D83C29"/>
    <w:multiLevelType w:val="hybridMultilevel"/>
    <w:tmpl w:val="54BABC6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C1659"/>
    <w:multiLevelType w:val="hybridMultilevel"/>
    <w:tmpl w:val="FA5063B2"/>
    <w:lvl w:ilvl="0" w:tplc="8174A6FA">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5E2574"/>
    <w:multiLevelType w:val="hybridMultilevel"/>
    <w:tmpl w:val="9662C894"/>
    <w:lvl w:ilvl="0" w:tplc="1A00F8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1B6877"/>
    <w:multiLevelType w:val="hybridMultilevel"/>
    <w:tmpl w:val="C088B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143880"/>
    <w:multiLevelType w:val="hybridMultilevel"/>
    <w:tmpl w:val="69C4F7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F3291"/>
    <w:multiLevelType w:val="hybridMultilevel"/>
    <w:tmpl w:val="23BA12E6"/>
    <w:lvl w:ilvl="0" w:tplc="8174A6F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E93A94"/>
    <w:multiLevelType w:val="hybridMultilevel"/>
    <w:tmpl w:val="FE1075F6"/>
    <w:lvl w:ilvl="0" w:tplc="8174A6FA">
      <w:start w:val="2"/>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5486BA8"/>
    <w:multiLevelType w:val="hybridMultilevel"/>
    <w:tmpl w:val="C17AD600"/>
    <w:lvl w:ilvl="0" w:tplc="46B05D98">
      <w:start w:val="1"/>
      <w:numFmt w:val="bullet"/>
      <w:lvlText w:val=""/>
      <w:lvlJc w:val="left"/>
      <w:pPr>
        <w:ind w:left="720" w:hanging="360"/>
      </w:pPr>
      <w:rPr>
        <w:rFonts w:ascii="Symbol" w:hAnsi="Symbol" w:hint="default"/>
        <w:color w:val="FF449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2F5859"/>
    <w:multiLevelType w:val="hybridMultilevel"/>
    <w:tmpl w:val="45E833A4"/>
    <w:lvl w:ilvl="0" w:tplc="23B89696">
      <w:start w:val="1"/>
      <w:numFmt w:val="bullet"/>
      <w:lvlText w:val=""/>
      <w:lvlJc w:val="left"/>
      <w:pPr>
        <w:ind w:left="731" w:hanging="360"/>
      </w:pPr>
      <w:rPr>
        <w:rFonts w:ascii="Symbol" w:hAnsi="Symbol" w:hint="default"/>
        <w:color w:val="FF0000"/>
        <w:sz w:val="16"/>
        <w:szCs w:val="16"/>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15:restartNumberingAfterBreak="0">
    <w:nsid w:val="2D037A6F"/>
    <w:multiLevelType w:val="hybridMultilevel"/>
    <w:tmpl w:val="635C20CA"/>
    <w:lvl w:ilvl="0" w:tplc="5B3207D8">
      <w:start w:val="1"/>
      <w:numFmt w:val="decimal"/>
      <w:lvlText w:val="%1."/>
      <w:lvlJc w:val="left"/>
      <w:pPr>
        <w:tabs>
          <w:tab w:val="num" w:pos="720"/>
        </w:tabs>
        <w:ind w:left="720" w:hanging="360"/>
      </w:pPr>
      <w:rPr>
        <w:rFonts w:hint="default"/>
      </w:rPr>
    </w:lvl>
    <w:lvl w:ilvl="1" w:tplc="9648F79C">
      <w:start w:val="1"/>
      <w:numFmt w:val="bullet"/>
      <w:lvlText w:val="o"/>
      <w:lvlJc w:val="left"/>
      <w:pPr>
        <w:tabs>
          <w:tab w:val="num" w:pos="1440"/>
        </w:tabs>
        <w:ind w:left="1363" w:hanging="283"/>
      </w:pPr>
      <w:rPr>
        <w:rFont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757288"/>
    <w:multiLevelType w:val="hybridMultilevel"/>
    <w:tmpl w:val="2B0AA778"/>
    <w:lvl w:ilvl="0" w:tplc="61F2F2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9E256D"/>
    <w:multiLevelType w:val="multilevel"/>
    <w:tmpl w:val="0B46EF00"/>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32A63DB7"/>
    <w:multiLevelType w:val="hybridMultilevel"/>
    <w:tmpl w:val="47725634"/>
    <w:lvl w:ilvl="0" w:tplc="8174A6F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A127BE"/>
    <w:multiLevelType w:val="hybridMultilevel"/>
    <w:tmpl w:val="B3460F7C"/>
    <w:lvl w:ilvl="0" w:tplc="23B89696">
      <w:start w:val="1"/>
      <w:numFmt w:val="bullet"/>
      <w:lvlText w:val=""/>
      <w:lvlJc w:val="left"/>
      <w:pPr>
        <w:ind w:left="1440" w:hanging="360"/>
      </w:pPr>
      <w:rPr>
        <w:rFonts w:ascii="Symbol" w:hAnsi="Symbol" w:hint="default"/>
        <w:color w:val="FF0000"/>
        <w:sz w:val="16"/>
        <w:szCs w:val="16"/>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EFF0492"/>
    <w:multiLevelType w:val="hybridMultilevel"/>
    <w:tmpl w:val="2A08BF5C"/>
    <w:lvl w:ilvl="0" w:tplc="AB1CFB46">
      <w:start w:val="1"/>
      <w:numFmt w:val="bullet"/>
      <w:lvlText w:val="•"/>
      <w:lvlJc w:val="left"/>
      <w:pPr>
        <w:tabs>
          <w:tab w:val="num" w:pos="720"/>
        </w:tabs>
        <w:ind w:left="720" w:hanging="360"/>
      </w:pPr>
      <w:rPr>
        <w:rFonts w:ascii="Arial" w:hAnsi="Arial" w:hint="default"/>
      </w:rPr>
    </w:lvl>
    <w:lvl w:ilvl="1" w:tplc="3B349964" w:tentative="1">
      <w:start w:val="1"/>
      <w:numFmt w:val="bullet"/>
      <w:lvlText w:val="•"/>
      <w:lvlJc w:val="left"/>
      <w:pPr>
        <w:tabs>
          <w:tab w:val="num" w:pos="1440"/>
        </w:tabs>
        <w:ind w:left="1440" w:hanging="360"/>
      </w:pPr>
      <w:rPr>
        <w:rFonts w:ascii="Arial" w:hAnsi="Arial" w:hint="default"/>
      </w:rPr>
    </w:lvl>
    <w:lvl w:ilvl="2" w:tplc="01C2B8DE" w:tentative="1">
      <w:start w:val="1"/>
      <w:numFmt w:val="bullet"/>
      <w:lvlText w:val="•"/>
      <w:lvlJc w:val="left"/>
      <w:pPr>
        <w:tabs>
          <w:tab w:val="num" w:pos="2160"/>
        </w:tabs>
        <w:ind w:left="2160" w:hanging="360"/>
      </w:pPr>
      <w:rPr>
        <w:rFonts w:ascii="Arial" w:hAnsi="Arial" w:hint="default"/>
      </w:rPr>
    </w:lvl>
    <w:lvl w:ilvl="3" w:tplc="C792C238" w:tentative="1">
      <w:start w:val="1"/>
      <w:numFmt w:val="bullet"/>
      <w:lvlText w:val="•"/>
      <w:lvlJc w:val="left"/>
      <w:pPr>
        <w:tabs>
          <w:tab w:val="num" w:pos="2880"/>
        </w:tabs>
        <w:ind w:left="2880" w:hanging="360"/>
      </w:pPr>
      <w:rPr>
        <w:rFonts w:ascii="Arial" w:hAnsi="Arial" w:hint="default"/>
      </w:rPr>
    </w:lvl>
    <w:lvl w:ilvl="4" w:tplc="66041FB8" w:tentative="1">
      <w:start w:val="1"/>
      <w:numFmt w:val="bullet"/>
      <w:lvlText w:val="•"/>
      <w:lvlJc w:val="left"/>
      <w:pPr>
        <w:tabs>
          <w:tab w:val="num" w:pos="3600"/>
        </w:tabs>
        <w:ind w:left="3600" w:hanging="360"/>
      </w:pPr>
      <w:rPr>
        <w:rFonts w:ascii="Arial" w:hAnsi="Arial" w:hint="default"/>
      </w:rPr>
    </w:lvl>
    <w:lvl w:ilvl="5" w:tplc="32DEC40A" w:tentative="1">
      <w:start w:val="1"/>
      <w:numFmt w:val="bullet"/>
      <w:lvlText w:val="•"/>
      <w:lvlJc w:val="left"/>
      <w:pPr>
        <w:tabs>
          <w:tab w:val="num" w:pos="4320"/>
        </w:tabs>
        <w:ind w:left="4320" w:hanging="360"/>
      </w:pPr>
      <w:rPr>
        <w:rFonts w:ascii="Arial" w:hAnsi="Arial" w:hint="default"/>
      </w:rPr>
    </w:lvl>
    <w:lvl w:ilvl="6" w:tplc="49A6D28E" w:tentative="1">
      <w:start w:val="1"/>
      <w:numFmt w:val="bullet"/>
      <w:lvlText w:val="•"/>
      <w:lvlJc w:val="left"/>
      <w:pPr>
        <w:tabs>
          <w:tab w:val="num" w:pos="5040"/>
        </w:tabs>
        <w:ind w:left="5040" w:hanging="360"/>
      </w:pPr>
      <w:rPr>
        <w:rFonts w:ascii="Arial" w:hAnsi="Arial" w:hint="default"/>
      </w:rPr>
    </w:lvl>
    <w:lvl w:ilvl="7" w:tplc="2D8A9520" w:tentative="1">
      <w:start w:val="1"/>
      <w:numFmt w:val="bullet"/>
      <w:lvlText w:val="•"/>
      <w:lvlJc w:val="left"/>
      <w:pPr>
        <w:tabs>
          <w:tab w:val="num" w:pos="5760"/>
        </w:tabs>
        <w:ind w:left="5760" w:hanging="360"/>
      </w:pPr>
      <w:rPr>
        <w:rFonts w:ascii="Arial" w:hAnsi="Arial" w:hint="default"/>
      </w:rPr>
    </w:lvl>
    <w:lvl w:ilvl="8" w:tplc="4F968C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BE1226"/>
    <w:multiLevelType w:val="hybridMultilevel"/>
    <w:tmpl w:val="CF42C7F8"/>
    <w:lvl w:ilvl="0" w:tplc="8174A6FA">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846493A"/>
    <w:multiLevelType w:val="hybridMultilevel"/>
    <w:tmpl w:val="EBB41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9A4BFA"/>
    <w:multiLevelType w:val="hybridMultilevel"/>
    <w:tmpl w:val="EA14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CC0F89"/>
    <w:multiLevelType w:val="hybridMultilevel"/>
    <w:tmpl w:val="601A58E4"/>
    <w:lvl w:ilvl="0" w:tplc="4654806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0" w15:restartNumberingAfterBreak="0">
    <w:nsid w:val="685F52FE"/>
    <w:multiLevelType w:val="hybridMultilevel"/>
    <w:tmpl w:val="2E76E652"/>
    <w:lvl w:ilvl="0" w:tplc="3DA2C6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702AFB"/>
    <w:multiLevelType w:val="hybridMultilevel"/>
    <w:tmpl w:val="2696ADF4"/>
    <w:lvl w:ilvl="0" w:tplc="CCD6C78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675F73"/>
    <w:multiLevelType w:val="hybridMultilevel"/>
    <w:tmpl w:val="957C2E2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A71931"/>
    <w:multiLevelType w:val="hybridMultilevel"/>
    <w:tmpl w:val="45AEB266"/>
    <w:lvl w:ilvl="0" w:tplc="8174A6F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AA47FC"/>
    <w:multiLevelType w:val="hybridMultilevel"/>
    <w:tmpl w:val="5958FE48"/>
    <w:lvl w:ilvl="0" w:tplc="16089D7E">
      <w:start w:val="1"/>
      <w:numFmt w:val="decimal"/>
      <w:lvlText w:val="%1."/>
      <w:lvlJc w:val="left"/>
      <w:pPr>
        <w:tabs>
          <w:tab w:val="num" w:pos="720"/>
        </w:tabs>
        <w:ind w:left="720" w:hanging="360"/>
      </w:pPr>
      <w:rPr>
        <w:rFonts w:hint="default"/>
      </w:rPr>
    </w:lvl>
    <w:lvl w:ilvl="1" w:tplc="9648F79C">
      <w:start w:val="1"/>
      <w:numFmt w:val="bullet"/>
      <w:lvlText w:val="o"/>
      <w:lvlJc w:val="left"/>
      <w:pPr>
        <w:tabs>
          <w:tab w:val="num" w:pos="1440"/>
        </w:tabs>
        <w:ind w:left="1363" w:hanging="283"/>
      </w:pPr>
      <w:rPr>
        <w:rFont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30523327">
    <w:abstractNumId w:val="13"/>
  </w:num>
  <w:num w:numId="2" w16cid:durableId="834538731">
    <w:abstractNumId w:val="6"/>
  </w:num>
  <w:num w:numId="3" w16cid:durableId="10882969">
    <w:abstractNumId w:val="7"/>
  </w:num>
  <w:num w:numId="4" w16cid:durableId="983853994">
    <w:abstractNumId w:val="23"/>
  </w:num>
  <w:num w:numId="5" w16cid:durableId="9457750">
    <w:abstractNumId w:val="16"/>
  </w:num>
  <w:num w:numId="6" w16cid:durableId="965502648">
    <w:abstractNumId w:val="2"/>
  </w:num>
  <w:num w:numId="7" w16cid:durableId="1907569602">
    <w:abstractNumId w:val="4"/>
  </w:num>
  <w:num w:numId="8" w16cid:durableId="1969434603">
    <w:abstractNumId w:val="12"/>
  </w:num>
  <w:num w:numId="9" w16cid:durableId="2038848133">
    <w:abstractNumId w:val="5"/>
  </w:num>
  <w:num w:numId="10" w16cid:durableId="1088576111">
    <w:abstractNumId w:val="21"/>
  </w:num>
  <w:num w:numId="11" w16cid:durableId="227769612">
    <w:abstractNumId w:val="1"/>
  </w:num>
  <w:num w:numId="12" w16cid:durableId="1721127109">
    <w:abstractNumId w:val="24"/>
  </w:num>
  <w:num w:numId="13" w16cid:durableId="871724196">
    <w:abstractNumId w:val="3"/>
  </w:num>
  <w:num w:numId="14" w16cid:durableId="533613667">
    <w:abstractNumId w:val="20"/>
  </w:num>
  <w:num w:numId="15" w16cid:durableId="159926574">
    <w:abstractNumId w:val="11"/>
  </w:num>
  <w:num w:numId="16" w16cid:durableId="666009438">
    <w:abstractNumId w:val="10"/>
  </w:num>
  <w:num w:numId="17" w16cid:durableId="1796482000">
    <w:abstractNumId w:val="19"/>
  </w:num>
  <w:num w:numId="18" w16cid:durableId="381487246">
    <w:abstractNumId w:val="18"/>
  </w:num>
  <w:num w:numId="19" w16cid:durableId="814034352">
    <w:abstractNumId w:val="14"/>
  </w:num>
  <w:num w:numId="20" w16cid:durableId="1843353429">
    <w:abstractNumId w:val="9"/>
  </w:num>
  <w:num w:numId="21" w16cid:durableId="111093984">
    <w:abstractNumId w:val="22"/>
  </w:num>
  <w:num w:numId="22" w16cid:durableId="1801796943">
    <w:abstractNumId w:val="8"/>
  </w:num>
  <w:num w:numId="23" w16cid:durableId="173038237">
    <w:abstractNumId w:val="0"/>
  </w:num>
  <w:num w:numId="24" w16cid:durableId="99448927">
    <w:abstractNumId w:val="15"/>
  </w:num>
  <w:num w:numId="25" w16cid:durableId="3028513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0"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6A"/>
    <w:rsid w:val="00010F76"/>
    <w:rsid w:val="0001438F"/>
    <w:rsid w:val="00017667"/>
    <w:rsid w:val="000653B7"/>
    <w:rsid w:val="00072666"/>
    <w:rsid w:val="000A4B20"/>
    <w:rsid w:val="000C2D38"/>
    <w:rsid w:val="000E55DC"/>
    <w:rsid w:val="001404F5"/>
    <w:rsid w:val="00141DA6"/>
    <w:rsid w:val="00167882"/>
    <w:rsid w:val="00177F9C"/>
    <w:rsid w:val="001A3F33"/>
    <w:rsid w:val="001A5885"/>
    <w:rsid w:val="001C18BA"/>
    <w:rsid w:val="001C4EDA"/>
    <w:rsid w:val="001C5923"/>
    <w:rsid w:val="001D29DD"/>
    <w:rsid w:val="001D7A10"/>
    <w:rsid w:val="002012B3"/>
    <w:rsid w:val="00216BE8"/>
    <w:rsid w:val="002654F9"/>
    <w:rsid w:val="002757B7"/>
    <w:rsid w:val="002775AC"/>
    <w:rsid w:val="002C3B4F"/>
    <w:rsid w:val="002E4242"/>
    <w:rsid w:val="00306499"/>
    <w:rsid w:val="003344BD"/>
    <w:rsid w:val="00376484"/>
    <w:rsid w:val="00391390"/>
    <w:rsid w:val="003D733B"/>
    <w:rsid w:val="003F722F"/>
    <w:rsid w:val="00404697"/>
    <w:rsid w:val="00431E7D"/>
    <w:rsid w:val="004809A8"/>
    <w:rsid w:val="004E0610"/>
    <w:rsid w:val="004F0295"/>
    <w:rsid w:val="00514C29"/>
    <w:rsid w:val="00515335"/>
    <w:rsid w:val="005558BA"/>
    <w:rsid w:val="0056033C"/>
    <w:rsid w:val="00560909"/>
    <w:rsid w:val="00581FBB"/>
    <w:rsid w:val="00594147"/>
    <w:rsid w:val="005A7213"/>
    <w:rsid w:val="005D1706"/>
    <w:rsid w:val="00612C56"/>
    <w:rsid w:val="0062003A"/>
    <w:rsid w:val="006952B3"/>
    <w:rsid w:val="006A0A6A"/>
    <w:rsid w:val="006C1066"/>
    <w:rsid w:val="006E10DD"/>
    <w:rsid w:val="006F0B71"/>
    <w:rsid w:val="0072219F"/>
    <w:rsid w:val="007577BE"/>
    <w:rsid w:val="007867C0"/>
    <w:rsid w:val="00844927"/>
    <w:rsid w:val="0085643E"/>
    <w:rsid w:val="008572A2"/>
    <w:rsid w:val="008778F8"/>
    <w:rsid w:val="008969BB"/>
    <w:rsid w:val="008C2BA3"/>
    <w:rsid w:val="008E3D63"/>
    <w:rsid w:val="00955342"/>
    <w:rsid w:val="00960ECC"/>
    <w:rsid w:val="009751D0"/>
    <w:rsid w:val="00985BE1"/>
    <w:rsid w:val="009C2D33"/>
    <w:rsid w:val="009E2C15"/>
    <w:rsid w:val="00A308A1"/>
    <w:rsid w:val="00AC6E29"/>
    <w:rsid w:val="00AD446E"/>
    <w:rsid w:val="00AD54A1"/>
    <w:rsid w:val="00AE05ED"/>
    <w:rsid w:val="00B13387"/>
    <w:rsid w:val="00B173B6"/>
    <w:rsid w:val="00B425A6"/>
    <w:rsid w:val="00B45B14"/>
    <w:rsid w:val="00B51515"/>
    <w:rsid w:val="00B656BA"/>
    <w:rsid w:val="00BE5F6B"/>
    <w:rsid w:val="00C01F93"/>
    <w:rsid w:val="00C50E46"/>
    <w:rsid w:val="00C9011F"/>
    <w:rsid w:val="00DA1C2E"/>
    <w:rsid w:val="00DA618B"/>
    <w:rsid w:val="00DA7736"/>
    <w:rsid w:val="00DC200B"/>
    <w:rsid w:val="00DC317A"/>
    <w:rsid w:val="00DF3C42"/>
    <w:rsid w:val="00E22080"/>
    <w:rsid w:val="00E7166C"/>
    <w:rsid w:val="00E73216"/>
    <w:rsid w:val="00E80F37"/>
    <w:rsid w:val="00E9052C"/>
    <w:rsid w:val="00EB2FE9"/>
    <w:rsid w:val="00F21DA2"/>
    <w:rsid w:val="00F71DFC"/>
    <w:rsid w:val="00F72C7B"/>
    <w:rsid w:val="00F76EF4"/>
    <w:rsid w:val="00FB2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14880A0"/>
  <w15:chartTrackingRefBased/>
  <w15:docId w15:val="{B9796F9F-350B-49E5-AB55-6A308CD4A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iCs/>
    </w:rPr>
  </w:style>
  <w:style w:type="paragraph" w:styleId="Heading3">
    <w:name w:val="heading 3"/>
    <w:basedOn w:val="Normal"/>
    <w:next w:val="Normal"/>
    <w:qFormat/>
    <w:pPr>
      <w:keepNext/>
      <w:ind w:left="360"/>
      <w:jc w:val="center"/>
      <w:outlineLvl w:val="2"/>
    </w:pPr>
    <w:rPr>
      <w:b/>
      <w:bCs/>
    </w:rPr>
  </w:style>
  <w:style w:type="paragraph" w:styleId="Heading4">
    <w:name w:val="heading 4"/>
    <w:basedOn w:val="Normal"/>
    <w:next w:val="Normal"/>
    <w:qFormat/>
    <w:pPr>
      <w:keepNext/>
      <w:jc w:val="center"/>
      <w:outlineLvl w:val="3"/>
    </w:pPr>
    <w:rPr>
      <w:b/>
      <w:bCs/>
      <w:u w:val="single"/>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sz w:val="22"/>
    </w:rPr>
  </w:style>
  <w:style w:type="paragraph" w:styleId="BodyText">
    <w:name w:val="Body Text"/>
    <w:basedOn w:val="Normal"/>
    <w:semiHidden/>
    <w:pPr>
      <w:jc w:val="center"/>
    </w:pPr>
    <w:rPr>
      <w:b/>
      <w:bCs/>
    </w:rPr>
  </w:style>
  <w:style w:type="paragraph" w:styleId="Footer">
    <w:name w:val="footer"/>
    <w:basedOn w:val="Normal"/>
    <w:semiHidden/>
    <w:pPr>
      <w:tabs>
        <w:tab w:val="center" w:pos="4153"/>
        <w:tab w:val="right" w:pos="8306"/>
      </w:tabs>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character" w:styleId="Hyperlink">
    <w:name w:val="Hyperlink"/>
    <w:basedOn w:val="DefaultParagraphFont"/>
    <w:uiPriority w:val="99"/>
    <w:unhideWhenUsed/>
    <w:rsid w:val="00BE5F6B"/>
    <w:rPr>
      <w:color w:val="0563C1" w:themeColor="hyperlink"/>
      <w:u w:val="single"/>
    </w:rPr>
  </w:style>
  <w:style w:type="character" w:styleId="UnresolvedMention">
    <w:name w:val="Unresolved Mention"/>
    <w:basedOn w:val="DefaultParagraphFont"/>
    <w:uiPriority w:val="99"/>
    <w:semiHidden/>
    <w:unhideWhenUsed/>
    <w:rsid w:val="00BE5F6B"/>
    <w:rPr>
      <w:color w:val="605E5C"/>
      <w:shd w:val="clear" w:color="auto" w:fill="E1DFDD"/>
    </w:rPr>
  </w:style>
  <w:style w:type="paragraph" w:styleId="ListParagraph">
    <w:name w:val="List Paragraph"/>
    <w:basedOn w:val="Normal"/>
    <w:uiPriority w:val="34"/>
    <w:qFormat/>
    <w:rsid w:val="00594147"/>
    <w:pPr>
      <w:spacing w:after="200" w:line="276" w:lineRule="auto"/>
      <w:ind w:left="720"/>
      <w:contextualSpacing/>
    </w:pPr>
    <w:rPr>
      <w:rFonts w:asciiTheme="minorHAnsi" w:eastAsiaTheme="minorHAnsi" w:hAnsiTheme="minorHAnsi" w:cstheme="minorBidi"/>
      <w:sz w:val="22"/>
      <w:szCs w:val="22"/>
    </w:rPr>
  </w:style>
  <w:style w:type="paragraph" w:customStyle="1" w:styleId="toolboxparagraph">
    <w:name w:val="toolbox paragraph"/>
    <w:basedOn w:val="Header"/>
    <w:rsid w:val="006E10DD"/>
    <w:pPr>
      <w:tabs>
        <w:tab w:val="clear" w:pos="8306"/>
        <w:tab w:val="right" w:pos="7560"/>
      </w:tabs>
      <w:spacing w:after="120"/>
    </w:pPr>
    <w:rPr>
      <w:rFonts w:ascii="Times" w:hAnsi="Times"/>
      <w:sz w:val="28"/>
      <w:szCs w:val="20"/>
    </w:rPr>
  </w:style>
  <w:style w:type="paragraph" w:styleId="NormalWeb">
    <w:name w:val="Normal (Web)"/>
    <w:basedOn w:val="Normal"/>
    <w:uiPriority w:val="99"/>
    <w:semiHidden/>
    <w:unhideWhenUsed/>
    <w:rsid w:val="001C4EDA"/>
    <w:pPr>
      <w:spacing w:before="100" w:beforeAutospacing="1" w:after="100" w:afterAutospacing="1"/>
    </w:pPr>
    <w:rPr>
      <w:rFonts w:ascii="Times New Roman" w:hAnsi="Times New Roman"/>
      <w:sz w:val="24"/>
      <w:lang w:eastAsia="en-GB"/>
    </w:rPr>
  </w:style>
  <w:style w:type="table" w:styleId="TableGrid">
    <w:name w:val="Table Grid"/>
    <w:basedOn w:val="TableNormal"/>
    <w:uiPriority w:val="59"/>
    <w:rsid w:val="00072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4414">
      <w:bodyDiv w:val="1"/>
      <w:marLeft w:val="0"/>
      <w:marRight w:val="0"/>
      <w:marTop w:val="0"/>
      <w:marBottom w:val="0"/>
      <w:divBdr>
        <w:top w:val="none" w:sz="0" w:space="0" w:color="auto"/>
        <w:left w:val="none" w:sz="0" w:space="0" w:color="auto"/>
        <w:bottom w:val="none" w:sz="0" w:space="0" w:color="auto"/>
        <w:right w:val="none" w:sz="0" w:space="0" w:color="auto"/>
      </w:divBdr>
    </w:div>
    <w:div w:id="994797554">
      <w:bodyDiv w:val="1"/>
      <w:marLeft w:val="0"/>
      <w:marRight w:val="0"/>
      <w:marTop w:val="0"/>
      <w:marBottom w:val="0"/>
      <w:divBdr>
        <w:top w:val="none" w:sz="0" w:space="0" w:color="auto"/>
        <w:left w:val="none" w:sz="0" w:space="0" w:color="auto"/>
        <w:bottom w:val="none" w:sz="0" w:space="0" w:color="auto"/>
        <w:right w:val="none" w:sz="0" w:space="0" w:color="auto"/>
      </w:divBdr>
    </w:div>
    <w:div w:id="1016270666">
      <w:bodyDiv w:val="1"/>
      <w:marLeft w:val="0"/>
      <w:marRight w:val="0"/>
      <w:marTop w:val="0"/>
      <w:marBottom w:val="0"/>
      <w:divBdr>
        <w:top w:val="none" w:sz="0" w:space="0" w:color="auto"/>
        <w:left w:val="none" w:sz="0" w:space="0" w:color="auto"/>
        <w:bottom w:val="none" w:sz="0" w:space="0" w:color="auto"/>
        <w:right w:val="none" w:sz="0" w:space="0" w:color="auto"/>
      </w:divBdr>
    </w:div>
    <w:div w:id="1167094829">
      <w:bodyDiv w:val="1"/>
      <w:marLeft w:val="0"/>
      <w:marRight w:val="0"/>
      <w:marTop w:val="0"/>
      <w:marBottom w:val="0"/>
      <w:divBdr>
        <w:top w:val="none" w:sz="0" w:space="0" w:color="auto"/>
        <w:left w:val="none" w:sz="0" w:space="0" w:color="auto"/>
        <w:bottom w:val="none" w:sz="0" w:space="0" w:color="auto"/>
        <w:right w:val="none" w:sz="0" w:space="0" w:color="auto"/>
      </w:divBdr>
      <w:divsChild>
        <w:div w:id="188567219">
          <w:marLeft w:val="360"/>
          <w:marRight w:val="0"/>
          <w:marTop w:val="200"/>
          <w:marBottom w:val="0"/>
          <w:divBdr>
            <w:top w:val="none" w:sz="0" w:space="0" w:color="auto"/>
            <w:left w:val="none" w:sz="0" w:space="0" w:color="auto"/>
            <w:bottom w:val="none" w:sz="0" w:space="0" w:color="auto"/>
            <w:right w:val="none" w:sz="0" w:space="0" w:color="auto"/>
          </w:divBdr>
        </w:div>
        <w:div w:id="111705365">
          <w:marLeft w:val="360"/>
          <w:marRight w:val="0"/>
          <w:marTop w:val="200"/>
          <w:marBottom w:val="0"/>
          <w:divBdr>
            <w:top w:val="none" w:sz="0" w:space="0" w:color="auto"/>
            <w:left w:val="none" w:sz="0" w:space="0" w:color="auto"/>
            <w:bottom w:val="none" w:sz="0" w:space="0" w:color="auto"/>
            <w:right w:val="none" w:sz="0" w:space="0" w:color="auto"/>
          </w:divBdr>
        </w:div>
        <w:div w:id="2022707119">
          <w:marLeft w:val="360"/>
          <w:marRight w:val="0"/>
          <w:marTop w:val="200"/>
          <w:marBottom w:val="0"/>
          <w:divBdr>
            <w:top w:val="none" w:sz="0" w:space="0" w:color="auto"/>
            <w:left w:val="none" w:sz="0" w:space="0" w:color="auto"/>
            <w:bottom w:val="none" w:sz="0" w:space="0" w:color="auto"/>
            <w:right w:val="none" w:sz="0" w:space="0" w:color="auto"/>
          </w:divBdr>
        </w:div>
        <w:div w:id="203410782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LongProp xmlns="" name="TaxCatchAll"><![CDATA[1;#*Not Applicable*|1d10b69b-7df3-4b56-9f6f-6b6e207d513d;#5;#*Not Applicable*|9cb019a7-5071-4d54-82fc-215c4d280395;#3;#*Not Applicable*|6c42fc76-9cd7-4707-aeeb-fb904af1b38e;#2;#SHE ＆ Sustainability|27059cc5-6187-43a8-9789-570f84454701;#35;#TBT|29ceadf8-eaa9-43b8-bba3-77db879379fb;#323;#Plant and Equipment (PUWER)|8e5657e3-74d5-45ec-b3f4-6d6b4454f4eb]]></LongProp>
</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ce1eb21-6f2a-4a4a-9493-a25cb5fb6e2a" xsi:nil="true"/>
    <SharedWithUsers xmlns="bce1eb21-6f2a-4a4a-9493-a25cb5fb6e2a">
      <UserInfo>
        <DisplayName/>
        <AccountId xsi:nil="true"/>
        <AccountType/>
      </UserInfo>
    </SharedWithUsers>
    <lcf76f155ced4ddcb4097134ff3c332f xmlns="95d86b25-91dc-4cf8-80b8-ee475694893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36E51E7CC77244AF48413B602BD8A3" ma:contentTypeVersion="16" ma:contentTypeDescription="Create a new document." ma:contentTypeScope="" ma:versionID="1ecbdcc3f545ab10737ac88b476ec10c">
  <xsd:schema xmlns:xsd="http://www.w3.org/2001/XMLSchema" xmlns:xs="http://www.w3.org/2001/XMLSchema" xmlns:p="http://schemas.microsoft.com/office/2006/metadata/properties" xmlns:ns2="95d86b25-91dc-4cf8-80b8-ee4756948930" xmlns:ns3="bce1eb21-6f2a-4a4a-9493-a25cb5fb6e2a" targetNamespace="http://schemas.microsoft.com/office/2006/metadata/properties" ma:root="true" ma:fieldsID="70441a2a14dd20783321a89da7f8b08f" ns2:_="" ns3:_="">
    <xsd:import namespace="95d86b25-91dc-4cf8-80b8-ee4756948930"/>
    <xsd:import namespace="bce1eb21-6f2a-4a4a-9493-a25cb5fb6e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86b25-91dc-4cf8-80b8-ee4756948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1ee8df-2d85-4464-8057-acc44c657a3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e1eb21-6f2a-4a4a-9493-a25cb5fb6e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afe8ec-7b66-4350-b388-bb7a74769e97}" ma:internalName="TaxCatchAll" ma:showField="CatchAllData" ma:web="bce1eb21-6f2a-4a4a-9493-a25cb5fb6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4EEDB-2839-43CE-AD7F-FFF2A2375722}">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40CBA376-681C-4CA6-9DDE-A92ACB5525DF}">
  <ds:schemaRefs>
    <ds:schemaRef ds:uri="http://schemas.microsoft.com/office/2006/metadata/properties"/>
    <ds:schemaRef ds:uri="http://schemas.microsoft.com/office/infopath/2007/PartnerControls"/>
    <ds:schemaRef ds:uri="ff84bbcd-a017-4898-916b-1f5a59dfc0ab"/>
    <ds:schemaRef ds:uri="fb7916aa-ae9e-4de8-ae67-51d8cc40e301"/>
    <ds:schemaRef ds:uri="484c8c59-755d-4516-b8d2-1621b38262b4"/>
    <ds:schemaRef ds:uri="44bbe7f0-b12b-4ed5-a781-e8d8032d69ca"/>
    <ds:schemaRef ds:uri="bce1eb21-6f2a-4a4a-9493-a25cb5fb6e2a"/>
    <ds:schemaRef ds:uri="95d86b25-91dc-4cf8-80b8-ee4756948930"/>
  </ds:schemaRefs>
</ds:datastoreItem>
</file>

<file path=customXml/itemProps3.xml><?xml version="1.0" encoding="utf-8"?>
<ds:datastoreItem xmlns:ds="http://schemas.openxmlformats.org/officeDocument/2006/customXml" ds:itemID="{B6A5C8A5-D061-4445-92B9-C2207B787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86b25-91dc-4cf8-80b8-ee4756948930"/>
    <ds:schemaRef ds:uri="bce1eb21-6f2a-4a4a-9493-a25cb5fb6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F225D9-C6AF-4886-8D71-C499B8F774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367</Words>
  <Characters>1917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Abrasive Wheels</vt:lpstr>
    </vt:vector>
  </TitlesOfParts>
  <Company>Geoffrey Osborne</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Abrasive Wheels</dc:title>
  <dc:subject/>
  <dc:creator>Peter Robertshaw</dc:creator>
  <cp:keywords/>
  <cp:lastModifiedBy>Philip Farrar (Galliford Try)</cp:lastModifiedBy>
  <cp:revision>2</cp:revision>
  <cp:lastPrinted>2005-02-03T15:16:00Z</cp:lastPrinted>
  <dcterms:created xsi:type="dcterms:W3CDTF">2023-05-09T12:58:00Z</dcterms:created>
  <dcterms:modified xsi:type="dcterms:W3CDTF">2023-05-09T12:58:00Z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PDocumentType">
    <vt:lpwstr>10;#TBT|29ceadf8-eaa9-43b8-bba3-77db879379fb</vt:lpwstr>
  </property>
  <property fmtid="{D5CDD505-2E9C-101B-9397-08002B2CF9AE}" pid="3" name="CPSubject">
    <vt:lpwstr>15;#SHE|25790e4a-a9ab-45c5-b15f-a6656697c225;#91;#Principal Risks|f823b23c-18ed-492d-bb5b-3847ce083f64;#101;#Plant and Equipment (PUWER)|8e5657e3-74d5-45ec-b3f4-6d6b4454f4eb</vt:lpwstr>
  </property>
  <property fmtid="{D5CDD505-2E9C-101B-9397-08002B2CF9AE}" pid="4" name="hrmTo">
    <vt:lpwstr/>
  </property>
  <property fmtid="{D5CDD505-2E9C-101B-9397-08002B2CF9AE}" pid="5" name="ComplianceAssetId">
    <vt:lpwstr/>
  </property>
  <property fmtid="{D5CDD505-2E9C-101B-9397-08002B2CF9AE}" pid="6" name="TemplateUrl">
    <vt:lpwstr/>
  </property>
  <property fmtid="{D5CDD505-2E9C-101B-9397-08002B2CF9AE}" pid="7" name="hrmAttachments">
    <vt:bool>false</vt:bool>
  </property>
  <property fmtid="{D5CDD505-2E9C-101B-9397-08002B2CF9AE}" pid="8" name="CPDepartments">
    <vt:lpwstr>274;#SHEA|2f2b8b23-be4f-49ed-9ae0-4c674052349f</vt:lpwstr>
  </property>
  <property fmtid="{D5CDD505-2E9C-101B-9397-08002B2CF9AE}" pid="9" name="hrmInReplyTo">
    <vt:lpwstr/>
  </property>
  <property fmtid="{D5CDD505-2E9C-101B-9397-08002B2CF9AE}" pid="10" name="hrmFrom">
    <vt:lpwstr/>
  </property>
  <property fmtid="{D5CDD505-2E9C-101B-9397-08002B2CF9AE}" pid="11" name="hrmCc">
    <vt:lpwstr/>
  </property>
  <property fmtid="{D5CDD505-2E9C-101B-9397-08002B2CF9AE}" pid="12" name="CPActivity">
    <vt:lpwstr/>
  </property>
  <property fmtid="{D5CDD505-2E9C-101B-9397-08002B2CF9AE}" pid="13" name="hrmMessageClass">
    <vt:lpwstr/>
  </property>
  <property fmtid="{D5CDD505-2E9C-101B-9397-08002B2CF9AE}" pid="14" name="hrmCategories">
    <vt:lpwstr/>
  </property>
  <property fmtid="{D5CDD505-2E9C-101B-9397-08002B2CF9AE}" pid="15" name="xd_Signature">
    <vt:lpwstr/>
  </property>
  <property fmtid="{D5CDD505-2E9C-101B-9397-08002B2CF9AE}" pid="16" name="hrmMessageID">
    <vt:lpwstr/>
  </property>
  <property fmtid="{D5CDD505-2E9C-101B-9397-08002B2CF9AE}" pid="17" name="hrmConversationTopic">
    <vt:lpwstr/>
  </property>
  <property fmtid="{D5CDD505-2E9C-101B-9397-08002B2CF9AE}" pid="18" name="hrmBcc">
    <vt:lpwstr/>
  </property>
  <property fmtid="{D5CDD505-2E9C-101B-9397-08002B2CF9AE}" pid="19" name="xd_ProgID">
    <vt:lpwstr/>
  </property>
  <property fmtid="{D5CDD505-2E9C-101B-9397-08002B2CF9AE}" pid="20" name="CPEntity">
    <vt:lpwstr>13;#*Not Applicable*|6c42fc76-9cd7-4707-aeeb-fb904af1b38e</vt:lpwstr>
  </property>
  <property fmtid="{D5CDD505-2E9C-101B-9397-08002B2CF9AE}" pid="21" name="display_urn:schemas-microsoft-com:office:office#Author">
    <vt:lpwstr>Mark Bamford</vt:lpwstr>
  </property>
  <property fmtid="{D5CDD505-2E9C-101B-9397-08002B2CF9AE}" pid="22" name="hrmReplyTo">
    <vt:lpwstr/>
  </property>
  <property fmtid="{D5CDD505-2E9C-101B-9397-08002B2CF9AE}" pid="23" name="hrmConversationIndex">
    <vt:lpwstr/>
  </property>
  <property fmtid="{D5CDD505-2E9C-101B-9397-08002B2CF9AE}" pid="24" name="hrmReferences">
    <vt:lpwstr/>
  </property>
  <property fmtid="{D5CDD505-2E9C-101B-9397-08002B2CF9AE}" pid="25" name="hrmImportance">
    <vt:lpwstr/>
  </property>
  <property fmtid="{D5CDD505-2E9C-101B-9397-08002B2CF9AE}" pid="26" name="hrmSensitivity">
    <vt:lpwstr/>
  </property>
  <property fmtid="{D5CDD505-2E9C-101B-9397-08002B2CF9AE}" pid="27" name="CPLocationGeography">
    <vt:lpwstr>11;#*Not Applicable*|1d10b69b-7df3-4b56-9f6f-6b6e207d513d</vt:lpwstr>
  </property>
  <property fmtid="{D5CDD505-2E9C-101B-9397-08002B2CF9AE}" pid="28" name="hrmMailPreviewData">
    <vt:lpwstr/>
  </property>
  <property fmtid="{D5CDD505-2E9C-101B-9397-08002B2CF9AE}" pid="29" name="display_urn:schemas-microsoft-com:office:office#Editor">
    <vt:lpwstr>Dominic Lowry</vt:lpwstr>
  </property>
  <property fmtid="{D5CDD505-2E9C-101B-9397-08002B2CF9AE}" pid="30" name="ContentTypeId">
    <vt:lpwstr>0x0101003436E51E7CC77244AF48413B602BD8A3</vt:lpwstr>
  </property>
  <property fmtid="{D5CDD505-2E9C-101B-9397-08002B2CF9AE}" pid="31" name="Order">
    <vt:r8>1241700</vt:r8>
  </property>
  <property fmtid="{D5CDD505-2E9C-101B-9397-08002B2CF9AE}" pid="32" name="_ExtendedDescription">
    <vt:lpwstr/>
  </property>
  <property fmtid="{D5CDD505-2E9C-101B-9397-08002B2CF9AE}" pid="33" name="MediaServiceImageTags">
    <vt:lpwstr/>
  </property>
</Properties>
</file>