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2E7" w:rsidRDefault="006C72E7" w:rsidP="006C72E7">
      <w:pPr>
        <w:rPr>
          <w:b/>
        </w:rPr>
      </w:pPr>
      <w:r>
        <w:rPr>
          <w:b/>
        </w:rPr>
        <w:t xml:space="preserve">How to Manage </w:t>
      </w:r>
      <w:r>
        <w:rPr>
          <w:b/>
        </w:rPr>
        <w:t>Statutory Undertakers on Regional Delivery Partner Frameworks</w:t>
      </w:r>
    </w:p>
    <w:p w:rsidR="00490C71" w:rsidRDefault="00490C71" w:rsidP="004E3F78">
      <w:pPr>
        <w:rPr>
          <w:b/>
        </w:rPr>
      </w:pPr>
    </w:p>
    <w:p w:rsidR="00F243CA" w:rsidRDefault="00F243CA" w:rsidP="004E3F78">
      <w:pPr>
        <w:rPr>
          <w:b/>
        </w:rPr>
      </w:pPr>
      <w:r>
        <w:rPr>
          <w:b/>
        </w:rPr>
        <w:t>Introduction</w:t>
      </w:r>
    </w:p>
    <w:p w:rsidR="00490C71" w:rsidRPr="00F243CA" w:rsidRDefault="00490C71" w:rsidP="004E3F78">
      <w:pPr>
        <w:rPr>
          <w:b/>
        </w:rPr>
      </w:pPr>
      <w:r>
        <w:t xml:space="preserve">This “How to” applies to all schemes delivered as part of the Regional Delivery                      Partnership, where there is a requirement to manage Statutory Undertakers (SUs) on behalf of Highways England. It defines how SUs should be managed to ensure health safety wellbeing and environmental concerns are administered. </w:t>
      </w:r>
    </w:p>
    <w:p w:rsidR="00490C71" w:rsidRDefault="00490C71" w:rsidP="004E3F78">
      <w:r>
        <w:t xml:space="preserve">SUs are the various companies and agencies who have been appointed by Highways England to carry out utility diversions, renewals and improvements to their apparatus within the highways infrastructure. </w:t>
      </w:r>
    </w:p>
    <w:p w:rsidR="00490C71" w:rsidRDefault="00490C71" w:rsidP="004E3F78">
      <w:r>
        <w:t xml:space="preserve">SUs have statutory powers to repair and replace their assets and contractors hold specialist competencies outside of the standard highways construction training and competency standards. They require specific management in order to ensure that health and safety requirements are achieved both from the specialist contractors undertaking works and the Principal Contractor’s management of the full scheme. </w:t>
      </w:r>
    </w:p>
    <w:p w:rsidR="006C72E7" w:rsidRDefault="006C72E7" w:rsidP="004E3F78">
      <w:pPr>
        <w:rPr>
          <w:b/>
        </w:rPr>
      </w:pPr>
    </w:p>
    <w:p w:rsidR="00490C71" w:rsidRDefault="00490C71" w:rsidP="004E3F78">
      <w:pPr>
        <w:rPr>
          <w:b/>
        </w:rPr>
      </w:pPr>
      <w:r>
        <w:rPr>
          <w:b/>
        </w:rPr>
        <w:t>Definitions</w:t>
      </w:r>
    </w:p>
    <w:p w:rsidR="00490C71" w:rsidRDefault="00490C71" w:rsidP="004E3F78">
      <w:r>
        <w:rPr>
          <w:b/>
        </w:rPr>
        <w:t xml:space="preserve">Statutory Undertaker – </w:t>
      </w:r>
      <w:r>
        <w:t>Statutory undertakers are bodies that have been given statutory powers in relation to functions that are of a “public” character. Statutory undertakers may have rights and obligations such as the supply of utilities.</w:t>
      </w:r>
    </w:p>
    <w:p w:rsidR="00490C71" w:rsidRDefault="00490C71" w:rsidP="004E3F78"/>
    <w:p w:rsidR="00490C71" w:rsidRPr="00F243CA" w:rsidRDefault="00490C71" w:rsidP="00F243CA">
      <w:pPr>
        <w:rPr>
          <w:b/>
        </w:rPr>
      </w:pPr>
      <w:r w:rsidRPr="00F243CA">
        <w:rPr>
          <w:b/>
        </w:rPr>
        <w:t>Roles</w:t>
      </w:r>
    </w:p>
    <w:p w:rsidR="00490C71" w:rsidRDefault="00F243CA" w:rsidP="00490C71">
      <w:r>
        <w:rPr>
          <w:b/>
        </w:rPr>
        <w:t xml:space="preserve">Contract Leader – </w:t>
      </w:r>
      <w:r>
        <w:t>Overall responsibility to ensure that work conducted by the Statutory Undertakers is properly supervised and that any interaction between their work and that of the project is co-ordinated to ensure a satisfactory and practical management of risk to the health and safety of both parties.</w:t>
      </w:r>
    </w:p>
    <w:p w:rsidR="00F243CA" w:rsidRDefault="00F243CA" w:rsidP="00490C71"/>
    <w:p w:rsidR="00F243CA" w:rsidRDefault="00F243CA" w:rsidP="00490C71">
      <w:r>
        <w:rPr>
          <w:b/>
        </w:rPr>
        <w:t xml:space="preserve">Design Manager </w:t>
      </w:r>
      <w:r>
        <w:t xml:space="preserve">– Responsible for identifying the Statutory Undertakers likely to be involved in a project at the initial design stage allowing for early engagement liaising with Highways England Head of Utilities as appropriate. </w:t>
      </w:r>
    </w:p>
    <w:p w:rsidR="00F243CA" w:rsidRDefault="00F243CA" w:rsidP="00490C71"/>
    <w:p w:rsidR="00F243CA" w:rsidRDefault="00F243CA" w:rsidP="00490C71">
      <w:r>
        <w:rPr>
          <w:b/>
        </w:rPr>
        <w:t xml:space="preserve">Health &amp; Safety Manager / Advisor – </w:t>
      </w:r>
      <w:r>
        <w:t>Responsible for providing advice and support as necessary.</w:t>
      </w:r>
    </w:p>
    <w:p w:rsidR="00F243CA" w:rsidRDefault="00F243CA" w:rsidP="00490C71"/>
    <w:p w:rsidR="00F243CA" w:rsidRDefault="00F243CA" w:rsidP="00490C71">
      <w:r>
        <w:rPr>
          <w:b/>
        </w:rPr>
        <w:t xml:space="preserve">Statutory Undertaker – </w:t>
      </w:r>
      <w:r>
        <w:t>Responsible for liaising with the Contract Leader and complying with, so far as is reasonably practicable, all project health safety and wellbeing procedures and to ensure effective two way communication.</w:t>
      </w:r>
    </w:p>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F24A8" w:rsidRDefault="006F24A8" w:rsidP="00490C71"/>
    <w:p w:rsidR="006C72E7" w:rsidRDefault="006C72E7" w:rsidP="00490C71">
      <w:pPr>
        <w:rPr>
          <w:b/>
        </w:rPr>
      </w:pPr>
    </w:p>
    <w:p w:rsidR="00B85101" w:rsidRDefault="00E70781" w:rsidP="00490C71">
      <w:pPr>
        <w:rPr>
          <w:b/>
        </w:rPr>
      </w:pPr>
      <w:r>
        <w:rPr>
          <w:b/>
        </w:rPr>
        <w:lastRenderedPageBreak/>
        <w:t xml:space="preserve">The Steps – as </w:t>
      </w:r>
      <w:r w:rsidR="006F24A8">
        <w:rPr>
          <w:b/>
        </w:rPr>
        <w:t>outlined in the three stage process below:</w:t>
      </w:r>
    </w:p>
    <w:p w:rsidR="006F24A8" w:rsidRDefault="006F24A8" w:rsidP="00490C71">
      <w:pPr>
        <w:rPr>
          <w:b/>
        </w:rPr>
      </w:pPr>
    </w:p>
    <w:p w:rsidR="006F24A8" w:rsidRDefault="006F24A8" w:rsidP="00490C71">
      <w:pPr>
        <w:rPr>
          <w:b/>
        </w:rPr>
      </w:pPr>
      <w:r>
        <w:rPr>
          <w:noProof/>
          <w:lang w:eastAsia="en-GB"/>
        </w:rPr>
        <w:drawing>
          <wp:inline distT="0" distB="0" distL="0" distR="0" wp14:anchorId="615CE2DC" wp14:editId="4377EBD6">
            <wp:extent cx="5111750" cy="2981960"/>
            <wp:effectExtent l="19050" t="0" r="127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F24A8" w:rsidRDefault="006F24A8" w:rsidP="00490C71">
      <w:pPr>
        <w:rPr>
          <w:b/>
        </w:rPr>
      </w:pPr>
    </w:p>
    <w:p w:rsidR="006F24A8" w:rsidRDefault="006F24A8" w:rsidP="00490C71">
      <w:pPr>
        <w:rPr>
          <w:b/>
        </w:rPr>
      </w:pPr>
      <w:r>
        <w:rPr>
          <w:b/>
        </w:rPr>
        <w:t xml:space="preserve">STAGE 1 </w:t>
      </w:r>
    </w:p>
    <w:p w:rsidR="00E70781" w:rsidRDefault="006F24A8" w:rsidP="00490C71">
      <w:pPr>
        <w:rPr>
          <w:b/>
        </w:rPr>
      </w:pPr>
      <w:r>
        <w:rPr>
          <w:b/>
        </w:rPr>
        <w:t>A</w:t>
      </w:r>
      <w:r w:rsidR="00E70781">
        <w:rPr>
          <w:b/>
        </w:rPr>
        <w:t>gree location and extent of the work area</w:t>
      </w:r>
    </w:p>
    <w:p w:rsidR="00E70781" w:rsidRDefault="00E70781" w:rsidP="00490C71">
      <w:r>
        <w:t xml:space="preserve">In agreement with the SU the extent of the area and the access and egress arrangements will be agreed and a clear drawing produced confirming details. The SU must confirm their understanding of how to safely access the area especially where this involves access through a live construction site. </w:t>
      </w:r>
    </w:p>
    <w:p w:rsidR="008F7318" w:rsidRDefault="008F7318" w:rsidP="00490C71"/>
    <w:p w:rsidR="008F7318" w:rsidRPr="008F7318" w:rsidRDefault="008F7318" w:rsidP="00490C71">
      <w:pPr>
        <w:rPr>
          <w:b/>
        </w:rPr>
      </w:pPr>
      <w:r>
        <w:rPr>
          <w:b/>
        </w:rPr>
        <w:t>Agree any supporting works to be undertaken</w:t>
      </w:r>
    </w:p>
    <w:p w:rsidR="008F7318" w:rsidRDefault="008F7318" w:rsidP="00490C71">
      <w:r>
        <w:t xml:space="preserve">The Regional Delivery Partner will agree with </w:t>
      </w:r>
      <w:r>
        <w:t>the SU any works that they will</w:t>
      </w:r>
      <w:r>
        <w:t xml:space="preserve"> complete prior to SU works starting</w:t>
      </w:r>
      <w:r>
        <w:t>. This could include an agreement for the SU to attend site after a particular work phase is completed or works to support the SU activity</w:t>
      </w:r>
      <w:r>
        <w:t xml:space="preserve"> e.g. excavating and installing trench boxes etc. The extent of any supporting works will be made on a project by project basis dependent on risks, resources and time lines.</w:t>
      </w:r>
    </w:p>
    <w:p w:rsidR="008F7318" w:rsidRDefault="008F7318" w:rsidP="00490C71">
      <w:pPr>
        <w:rPr>
          <w:b/>
        </w:rPr>
      </w:pPr>
    </w:p>
    <w:p w:rsidR="00E70781" w:rsidRDefault="00E70781" w:rsidP="00490C71">
      <w:pPr>
        <w:rPr>
          <w:b/>
        </w:rPr>
      </w:pPr>
      <w:r>
        <w:rPr>
          <w:b/>
        </w:rPr>
        <w:t>Confirm agreement for compliance with the Memorandum of Understanding</w:t>
      </w:r>
    </w:p>
    <w:p w:rsidR="00E70781" w:rsidRDefault="00E70781" w:rsidP="00490C71">
      <w:r>
        <w:t>Prior to work starting on site the Regional Delivery Partner are to be assured by the SU that they have agreed the requirements as identified in the Highways England / Regional Delivery Partners MOU.</w:t>
      </w:r>
    </w:p>
    <w:p w:rsidR="00E70781" w:rsidRDefault="00E70781" w:rsidP="00490C71"/>
    <w:p w:rsidR="008F7318" w:rsidRDefault="008F7318" w:rsidP="008F7318">
      <w:pPr>
        <w:rPr>
          <w:b/>
        </w:rPr>
      </w:pPr>
      <w:r>
        <w:rPr>
          <w:b/>
        </w:rPr>
        <w:t>Review but not approve RAMS for the works to be undertaken</w:t>
      </w:r>
    </w:p>
    <w:p w:rsidR="008F7318" w:rsidRDefault="008F7318" w:rsidP="008F7318">
      <w:r>
        <w:t>Prior to any work being conducted on site the SU Teams RAMS should be reviewed by a competent person within the Regional Delivery Partner team to ensure they have recognised and understood the health, safety and environmental obligations associated with their activities within the overall context of the project.</w:t>
      </w:r>
    </w:p>
    <w:p w:rsidR="008F7318" w:rsidRDefault="008F7318" w:rsidP="008F7318"/>
    <w:p w:rsidR="00E70781" w:rsidRDefault="00E70781" w:rsidP="00490C71">
      <w:pPr>
        <w:rPr>
          <w:b/>
        </w:rPr>
      </w:pPr>
      <w:r>
        <w:rPr>
          <w:b/>
        </w:rPr>
        <w:t>Request that SU team attend the site induction are given a Drugs &amp; Alcohol Test</w:t>
      </w:r>
    </w:p>
    <w:p w:rsidR="00C0370B" w:rsidRDefault="00E70781" w:rsidP="00490C71">
      <w:r>
        <w:t>Prior to starting on site, the competencies of the SU team should be provided</w:t>
      </w:r>
      <w:r w:rsidR="00C0370B">
        <w:t>,</w:t>
      </w:r>
      <w:r>
        <w:t xml:space="preserve"> </w:t>
      </w:r>
      <w:r w:rsidR="00C0370B">
        <w:t xml:space="preserve">as part of the standard induction protocol, </w:t>
      </w:r>
      <w:r>
        <w:t>to the Regio</w:t>
      </w:r>
      <w:r w:rsidR="00C0370B">
        <w:t xml:space="preserve">nal Delivery Partner. EUSR cards (Energy &amp; Utilities Skills Register) are affiliated to the CSCS Scheme and will evidence safety and technical competencies. Subcontractors to SUs must also provide evidence of competencies before commencing work on site.  </w:t>
      </w:r>
    </w:p>
    <w:p w:rsidR="00C0370B" w:rsidRDefault="00C0370B" w:rsidP="00490C71"/>
    <w:p w:rsidR="00C0370B" w:rsidRDefault="00C0370B" w:rsidP="00490C71">
      <w:pPr>
        <w:rPr>
          <w:b/>
        </w:rPr>
      </w:pPr>
      <w:r>
        <w:rPr>
          <w:b/>
        </w:rPr>
        <w:t>If unsure contact the Health Safety &amp; Wellbeing Manager or Advisor for the project for advice.</w:t>
      </w:r>
    </w:p>
    <w:p w:rsidR="00014490" w:rsidRDefault="00014490" w:rsidP="00490C71">
      <w:pPr>
        <w:rPr>
          <w:b/>
        </w:rPr>
      </w:pPr>
    </w:p>
    <w:p w:rsidR="00014490" w:rsidRDefault="00014490" w:rsidP="00490C71">
      <w:r>
        <w:t xml:space="preserve">The SU team must attend the site induction so they are fully briefed on key risks on site, the emergency procedures, welfare facilities available etc. </w:t>
      </w:r>
    </w:p>
    <w:p w:rsidR="00014490" w:rsidRDefault="00014490" w:rsidP="00490C71"/>
    <w:p w:rsidR="00014490" w:rsidRDefault="00014490" w:rsidP="00490C71">
      <w:r>
        <w:t xml:space="preserve">Drug and alcohol screening is mandatory at induction stage. If the SU are unwilling to take the drug and alcohol test they will not be permitted to enter site and the SU employer must be informed. In the event of a non-negative result a full “Chain of Custody” urine test must be undertaken and again the individual concerned will not be permitted to enter site pending the results of the test. </w:t>
      </w:r>
    </w:p>
    <w:p w:rsidR="00014490" w:rsidRDefault="00014490" w:rsidP="00490C71"/>
    <w:p w:rsidR="006C72E7" w:rsidRDefault="006C72E7" w:rsidP="00490C71">
      <w:pPr>
        <w:rPr>
          <w:b/>
        </w:rPr>
      </w:pPr>
      <w:r>
        <w:rPr>
          <w:b/>
        </w:rPr>
        <w:t>STAGE 2</w:t>
      </w:r>
    </w:p>
    <w:p w:rsidR="008F7318" w:rsidRDefault="008F7318" w:rsidP="00490C71">
      <w:pPr>
        <w:rPr>
          <w:b/>
        </w:rPr>
      </w:pPr>
      <w:r>
        <w:rPr>
          <w:b/>
        </w:rPr>
        <w:t>Checks to ensure the work area is free of residual risk</w:t>
      </w:r>
    </w:p>
    <w:p w:rsidR="008F7318" w:rsidRDefault="008F7318" w:rsidP="00490C71">
      <w:r>
        <w:t xml:space="preserve">Prior to signing over a work area to the SU team a check should be conducted jointly to identify any residual risks left by the Regional Delivery Partner’s works. </w:t>
      </w:r>
    </w:p>
    <w:p w:rsidR="008F7318" w:rsidRDefault="008F7318" w:rsidP="00490C71"/>
    <w:p w:rsidR="008F7318" w:rsidRDefault="008F7318" w:rsidP="00490C71">
      <w:pPr>
        <w:rPr>
          <w:b/>
        </w:rPr>
      </w:pPr>
      <w:r>
        <w:rPr>
          <w:b/>
        </w:rPr>
        <w:t>Handover of work area to SU team</w:t>
      </w:r>
    </w:p>
    <w:p w:rsidR="008F7318" w:rsidRDefault="008F7318" w:rsidP="00490C71">
      <w:r>
        <w:t>Wherever practical to do so the Regional Delivery Partner will sign over control of the work area to the SU for the duration of their works using the Handover of SU Works Area form</w:t>
      </w:r>
      <w:r w:rsidR="00A81ABC">
        <w:t xml:space="preserve"> at Appendix 1</w:t>
      </w:r>
      <w:r>
        <w:t xml:space="preserve">. This form must be displayed at the entrance location of the work area. The works area is to be completely segregated from the Regional Delivery Partners works. </w:t>
      </w:r>
    </w:p>
    <w:p w:rsidR="006C72E7" w:rsidRDefault="006C72E7" w:rsidP="00490C71">
      <w:pPr>
        <w:rPr>
          <w:b/>
        </w:rPr>
      </w:pPr>
    </w:p>
    <w:p w:rsidR="008F7318" w:rsidRDefault="008F7318" w:rsidP="00490C71">
      <w:pPr>
        <w:rPr>
          <w:b/>
        </w:rPr>
      </w:pPr>
      <w:r>
        <w:rPr>
          <w:b/>
        </w:rPr>
        <w:t>Checks during SU works</w:t>
      </w:r>
    </w:p>
    <w:p w:rsidR="008F7318" w:rsidRDefault="008F7318" w:rsidP="00490C71">
      <w:pPr>
        <w:rPr>
          <w:b/>
        </w:rPr>
      </w:pPr>
      <w:r>
        <w:t xml:space="preserve">Appropriate checks of progress and work conducted will be undertaken by the Regional Delivery Partner to ensure the SU are working in accordance with the agreed programme, design and that they continue to work safely and are adhering to all site rules. </w:t>
      </w:r>
      <w:r w:rsidR="00AC37CE">
        <w:t xml:space="preserve"> </w:t>
      </w:r>
      <w:r w:rsidR="00AC37CE" w:rsidRPr="00AC37CE">
        <w:rPr>
          <w:b/>
        </w:rPr>
        <w:t>No other works are to be conducted or other equipment transferred to the area whilst the Handover of SU works area is active.</w:t>
      </w:r>
    </w:p>
    <w:p w:rsidR="00AC37CE" w:rsidRDefault="00AC37CE" w:rsidP="00490C71">
      <w:pPr>
        <w:rPr>
          <w:b/>
        </w:rPr>
      </w:pPr>
    </w:p>
    <w:p w:rsidR="006C72E7" w:rsidRDefault="006C72E7" w:rsidP="00490C71">
      <w:pPr>
        <w:rPr>
          <w:b/>
        </w:rPr>
      </w:pPr>
      <w:r>
        <w:rPr>
          <w:b/>
        </w:rPr>
        <w:t>STAGE 3</w:t>
      </w:r>
    </w:p>
    <w:p w:rsidR="00AC37CE" w:rsidRDefault="00AC37CE" w:rsidP="00490C71">
      <w:pPr>
        <w:rPr>
          <w:b/>
        </w:rPr>
      </w:pPr>
      <w:r>
        <w:rPr>
          <w:b/>
        </w:rPr>
        <w:t>Upon completion of works SU/RDP agree hand back</w:t>
      </w:r>
    </w:p>
    <w:p w:rsidR="008F7318" w:rsidRPr="008F7318" w:rsidRDefault="00AC37CE" w:rsidP="00490C71">
      <w:r>
        <w:t xml:space="preserve">Once all the work is completed the handed over statutory undertakers works area (HOSWA) needs to be cancelled transferring control of the works area back to the Regional Delivery Partner. A check of the work area must be made jointly to identify and resolve any risks left by work conducted by the SU team. </w:t>
      </w:r>
    </w:p>
    <w:p w:rsidR="008F7318" w:rsidRDefault="008F7318" w:rsidP="00490C71"/>
    <w:p w:rsidR="00A81ABC" w:rsidRDefault="00A81ABC" w:rsidP="00490C71"/>
    <w:p w:rsidR="00A81ABC" w:rsidRDefault="00A81ABC" w:rsidP="00490C71"/>
    <w:p w:rsidR="00A81ABC" w:rsidRDefault="00A81ABC" w:rsidP="00490C71"/>
    <w:p w:rsidR="00A81ABC" w:rsidRDefault="00A81ABC" w:rsidP="00490C71"/>
    <w:p w:rsidR="00A81ABC" w:rsidRDefault="00A81ABC" w:rsidP="00490C71"/>
    <w:p w:rsidR="00A81ABC" w:rsidRDefault="00A81ABC" w:rsidP="00490C71"/>
    <w:p w:rsidR="00A81ABC" w:rsidRDefault="00A81ABC" w:rsidP="00490C71"/>
    <w:p w:rsidR="00A81ABC" w:rsidRDefault="00A81ABC" w:rsidP="00490C71"/>
    <w:p w:rsidR="00A81ABC" w:rsidRDefault="00A81ABC" w:rsidP="00490C71"/>
    <w:p w:rsidR="00A81ABC" w:rsidRDefault="00A81ABC" w:rsidP="00490C71">
      <w:pPr>
        <w:rPr>
          <w:b/>
        </w:rPr>
      </w:pPr>
      <w:r w:rsidRPr="00A81ABC">
        <w:rPr>
          <w:b/>
        </w:rPr>
        <w:t xml:space="preserve">Appendix 1 </w:t>
      </w:r>
      <w:r>
        <w:rPr>
          <w:b/>
        </w:rPr>
        <w:t>- Handover of SU Works Area</w:t>
      </w:r>
    </w:p>
    <w:p w:rsidR="00A81ABC" w:rsidRDefault="00A81ABC" w:rsidP="00490C71">
      <w:pPr>
        <w:rPr>
          <w:b/>
        </w:rPr>
      </w:pPr>
      <w:r>
        <w:rPr>
          <w:b/>
        </w:rPr>
        <w:t xml:space="preserve">HOSWA No:  </w:t>
      </w:r>
    </w:p>
    <w:p w:rsidR="00D70A01" w:rsidRDefault="00D70A01" w:rsidP="00490C71">
      <w:pPr>
        <w:rPr>
          <w:b/>
        </w:rPr>
      </w:pPr>
    </w:p>
    <w:p w:rsidR="00A81ABC" w:rsidRPr="00D70A01" w:rsidRDefault="00A81ABC" w:rsidP="00A81ABC">
      <w:pPr>
        <w:jc w:val="center"/>
        <w:rPr>
          <w:b/>
          <w:sz w:val="16"/>
          <w:szCs w:val="16"/>
        </w:rPr>
      </w:pPr>
      <w:r w:rsidRPr="00D70A01">
        <w:rPr>
          <w:b/>
          <w:sz w:val="16"/>
          <w:szCs w:val="16"/>
        </w:rPr>
        <w:t>This is not a permit to work. It does not vary any statutory or contractual conditions or obligations.</w:t>
      </w:r>
    </w:p>
    <w:tbl>
      <w:tblPr>
        <w:tblStyle w:val="TableGrid"/>
        <w:tblW w:w="0" w:type="auto"/>
        <w:tblLayout w:type="fixed"/>
        <w:tblLook w:val="04A0" w:firstRow="1" w:lastRow="0" w:firstColumn="1" w:lastColumn="0" w:noHBand="0" w:noVBand="1"/>
      </w:tblPr>
      <w:tblGrid>
        <w:gridCol w:w="3251"/>
        <w:gridCol w:w="855"/>
        <w:gridCol w:w="2977"/>
        <w:gridCol w:w="957"/>
      </w:tblGrid>
      <w:tr w:rsidR="00A81ABC" w:rsidRPr="00D70A01" w:rsidTr="00D70A01">
        <w:tc>
          <w:tcPr>
            <w:tcW w:w="8040" w:type="dxa"/>
            <w:gridSpan w:val="4"/>
          </w:tcPr>
          <w:p w:rsidR="00A81ABC" w:rsidRPr="00D70A01" w:rsidRDefault="00A81ABC" w:rsidP="00A81ABC">
            <w:pPr>
              <w:jc w:val="center"/>
              <w:rPr>
                <w:rFonts w:cstheme="minorHAnsi"/>
                <w:b/>
                <w:sz w:val="18"/>
                <w:szCs w:val="18"/>
              </w:rPr>
            </w:pPr>
            <w:r w:rsidRPr="00D70A01">
              <w:rPr>
                <w:rFonts w:cstheme="minorHAnsi"/>
                <w:b/>
                <w:sz w:val="18"/>
                <w:szCs w:val="18"/>
              </w:rPr>
              <w:t>THE CONTRACTOR IS REQUIRED O DISPLAY A COPY OF THIS NOTICE THROUGHOUT THE TRANSFER PERIOD IN A WATERPROOF COVER AT THE ENTRANCE/BOUNDARY OF THE TRANSFERRED WORK AREA</w:t>
            </w:r>
          </w:p>
        </w:tc>
      </w:tr>
      <w:tr w:rsidR="00A81ABC" w:rsidRPr="00D70A01" w:rsidTr="00D70A01">
        <w:tc>
          <w:tcPr>
            <w:tcW w:w="8040" w:type="dxa"/>
            <w:gridSpan w:val="4"/>
            <w:shd w:val="clear" w:color="auto" w:fill="C1E5FF" w:themeFill="background2" w:themeFillTint="33"/>
          </w:tcPr>
          <w:p w:rsidR="00A81ABC" w:rsidRPr="00D70A01" w:rsidRDefault="00A81ABC" w:rsidP="00490C71">
            <w:pPr>
              <w:rPr>
                <w:rFonts w:cstheme="minorHAnsi"/>
                <w:b/>
                <w:sz w:val="18"/>
                <w:szCs w:val="18"/>
              </w:rPr>
            </w:pPr>
            <w:r w:rsidRPr="00D70A01">
              <w:rPr>
                <w:rFonts w:cstheme="minorHAnsi"/>
                <w:b/>
                <w:sz w:val="18"/>
                <w:szCs w:val="18"/>
              </w:rPr>
              <w:t>Section 1 – Details of transfer:</w:t>
            </w:r>
          </w:p>
        </w:tc>
      </w:tr>
      <w:tr w:rsidR="00A81ABC" w:rsidRPr="00D70A01" w:rsidTr="00D70A01">
        <w:tc>
          <w:tcPr>
            <w:tcW w:w="8040" w:type="dxa"/>
            <w:gridSpan w:val="4"/>
          </w:tcPr>
          <w:p w:rsidR="00A81ABC" w:rsidRPr="00D70A01" w:rsidRDefault="00A81ABC" w:rsidP="00490C71">
            <w:pPr>
              <w:rPr>
                <w:rFonts w:cstheme="minorHAnsi"/>
                <w:sz w:val="18"/>
                <w:szCs w:val="18"/>
              </w:rPr>
            </w:pPr>
            <w:r w:rsidRPr="00D70A01">
              <w:rPr>
                <w:rFonts w:cstheme="minorHAnsi"/>
                <w:sz w:val="18"/>
                <w:szCs w:val="18"/>
              </w:rPr>
              <w:t>I hereby declare that the following SU/Contractor has been given full occupancy of the site or part thereof, as detailed below:</w:t>
            </w:r>
          </w:p>
          <w:p w:rsidR="00A81ABC" w:rsidRPr="00D70A01" w:rsidRDefault="00A81ABC" w:rsidP="00490C71">
            <w:pPr>
              <w:rPr>
                <w:rFonts w:cstheme="minorHAnsi"/>
                <w:sz w:val="18"/>
                <w:szCs w:val="18"/>
              </w:rPr>
            </w:pPr>
            <w:r w:rsidRPr="00D70A01">
              <w:rPr>
                <w:rFonts w:cstheme="minorHAnsi"/>
                <w:sz w:val="18"/>
                <w:szCs w:val="18"/>
              </w:rPr>
              <w:t>Location and name of site:</w:t>
            </w:r>
          </w:p>
          <w:p w:rsidR="00A81ABC" w:rsidRPr="00D70A01" w:rsidRDefault="00A81ABC" w:rsidP="00490C71">
            <w:pPr>
              <w:rPr>
                <w:rFonts w:cstheme="minorHAnsi"/>
                <w:sz w:val="18"/>
                <w:szCs w:val="18"/>
              </w:rPr>
            </w:pPr>
          </w:p>
          <w:p w:rsidR="00A81ABC" w:rsidRPr="00D70A01" w:rsidRDefault="00A81ABC" w:rsidP="00490C71">
            <w:pPr>
              <w:rPr>
                <w:rFonts w:cstheme="minorHAnsi"/>
                <w:sz w:val="18"/>
                <w:szCs w:val="18"/>
              </w:rPr>
            </w:pPr>
            <w:r w:rsidRPr="00D70A01">
              <w:rPr>
                <w:rFonts w:cstheme="minorHAnsi"/>
                <w:sz w:val="18"/>
                <w:szCs w:val="18"/>
              </w:rPr>
              <w:t>Contract Title/ Description of works:</w:t>
            </w:r>
          </w:p>
          <w:p w:rsidR="00A81ABC" w:rsidRPr="00D70A01" w:rsidRDefault="00A81ABC" w:rsidP="00490C71">
            <w:pPr>
              <w:rPr>
                <w:rFonts w:cstheme="minorHAnsi"/>
                <w:sz w:val="18"/>
                <w:szCs w:val="18"/>
              </w:rPr>
            </w:pPr>
          </w:p>
        </w:tc>
      </w:tr>
      <w:tr w:rsidR="008D5783" w:rsidRPr="00D70A01" w:rsidTr="00D70A01">
        <w:tc>
          <w:tcPr>
            <w:tcW w:w="4106" w:type="dxa"/>
            <w:gridSpan w:val="2"/>
          </w:tcPr>
          <w:p w:rsidR="008D5783" w:rsidRPr="00D70A01" w:rsidRDefault="008D5783" w:rsidP="00490C71">
            <w:pPr>
              <w:rPr>
                <w:rFonts w:cstheme="minorHAnsi"/>
                <w:sz w:val="18"/>
                <w:szCs w:val="18"/>
              </w:rPr>
            </w:pPr>
            <w:r w:rsidRPr="00D70A01">
              <w:rPr>
                <w:rFonts w:cstheme="minorHAnsi"/>
                <w:sz w:val="18"/>
                <w:szCs w:val="18"/>
              </w:rPr>
              <w:t>Name of SU/ Contractor:</w:t>
            </w:r>
          </w:p>
          <w:p w:rsidR="008D5783" w:rsidRPr="00D70A01" w:rsidRDefault="008D5783" w:rsidP="00490C71">
            <w:pPr>
              <w:rPr>
                <w:rFonts w:cstheme="minorHAnsi"/>
                <w:sz w:val="18"/>
                <w:szCs w:val="18"/>
              </w:rPr>
            </w:pPr>
          </w:p>
        </w:tc>
        <w:tc>
          <w:tcPr>
            <w:tcW w:w="3934" w:type="dxa"/>
            <w:gridSpan w:val="2"/>
          </w:tcPr>
          <w:p w:rsidR="008D5783" w:rsidRPr="00D70A01" w:rsidRDefault="008D5783" w:rsidP="00490C71">
            <w:pPr>
              <w:rPr>
                <w:rFonts w:cstheme="minorHAnsi"/>
                <w:sz w:val="18"/>
                <w:szCs w:val="18"/>
              </w:rPr>
            </w:pPr>
            <w:r w:rsidRPr="00D70A01">
              <w:rPr>
                <w:rFonts w:cstheme="minorHAnsi"/>
                <w:sz w:val="18"/>
                <w:szCs w:val="18"/>
              </w:rPr>
              <w:t>RDP Agent:</w:t>
            </w:r>
          </w:p>
        </w:tc>
      </w:tr>
      <w:tr w:rsidR="008D5783" w:rsidRPr="00D70A01" w:rsidTr="00D70A01">
        <w:tc>
          <w:tcPr>
            <w:tcW w:w="4106" w:type="dxa"/>
            <w:gridSpan w:val="2"/>
          </w:tcPr>
          <w:p w:rsidR="008D5783" w:rsidRPr="00D70A01" w:rsidRDefault="008D5783" w:rsidP="00490C71">
            <w:pPr>
              <w:rPr>
                <w:rFonts w:cstheme="minorHAnsi"/>
                <w:sz w:val="18"/>
                <w:szCs w:val="18"/>
              </w:rPr>
            </w:pPr>
            <w:r w:rsidRPr="00D70A01">
              <w:rPr>
                <w:rFonts w:cstheme="minorHAnsi"/>
                <w:sz w:val="18"/>
                <w:szCs w:val="18"/>
              </w:rPr>
              <w:t xml:space="preserve">Period of transfer from:   </w:t>
            </w:r>
          </w:p>
        </w:tc>
        <w:tc>
          <w:tcPr>
            <w:tcW w:w="3934" w:type="dxa"/>
            <w:gridSpan w:val="2"/>
          </w:tcPr>
          <w:p w:rsidR="008D5783" w:rsidRPr="00D70A01" w:rsidRDefault="008D5783" w:rsidP="00490C71">
            <w:pPr>
              <w:rPr>
                <w:rFonts w:cstheme="minorHAnsi"/>
                <w:sz w:val="18"/>
                <w:szCs w:val="18"/>
              </w:rPr>
            </w:pPr>
            <w:r w:rsidRPr="00D70A01">
              <w:rPr>
                <w:rFonts w:cstheme="minorHAnsi"/>
                <w:sz w:val="18"/>
                <w:szCs w:val="18"/>
              </w:rPr>
              <w:t>To:</w:t>
            </w:r>
          </w:p>
        </w:tc>
      </w:tr>
      <w:tr w:rsidR="008D5783" w:rsidRPr="00D70A01" w:rsidTr="00D70A01">
        <w:tc>
          <w:tcPr>
            <w:tcW w:w="8040" w:type="dxa"/>
            <w:gridSpan w:val="4"/>
          </w:tcPr>
          <w:p w:rsidR="008D5783" w:rsidRPr="00D70A01" w:rsidRDefault="008D5783" w:rsidP="00490C71">
            <w:pPr>
              <w:rPr>
                <w:rFonts w:cstheme="minorHAnsi"/>
                <w:sz w:val="18"/>
                <w:szCs w:val="18"/>
              </w:rPr>
            </w:pPr>
            <w:r w:rsidRPr="00D70A01">
              <w:rPr>
                <w:rFonts w:cstheme="minorHAnsi"/>
                <w:sz w:val="18"/>
                <w:szCs w:val="18"/>
              </w:rPr>
              <w:t>The transferred site comprises boundaries and Exit/Entry areas as shown in the attached drawing supplied by the RDP</w:t>
            </w:r>
          </w:p>
        </w:tc>
      </w:tr>
      <w:tr w:rsidR="008D5783" w:rsidRPr="00D70A01" w:rsidTr="00D70A01">
        <w:tc>
          <w:tcPr>
            <w:tcW w:w="4106" w:type="dxa"/>
            <w:gridSpan w:val="2"/>
          </w:tcPr>
          <w:p w:rsidR="008D5783" w:rsidRPr="00D70A01" w:rsidRDefault="008D5783" w:rsidP="00490C71">
            <w:pPr>
              <w:rPr>
                <w:rFonts w:cstheme="minorHAnsi"/>
                <w:sz w:val="18"/>
                <w:szCs w:val="18"/>
              </w:rPr>
            </w:pPr>
            <w:r w:rsidRPr="00D70A01">
              <w:rPr>
                <w:rFonts w:cstheme="minorHAnsi"/>
                <w:sz w:val="18"/>
                <w:szCs w:val="18"/>
              </w:rPr>
              <w:t xml:space="preserve">Signed: </w:t>
            </w:r>
          </w:p>
          <w:p w:rsidR="008D5783" w:rsidRPr="00D70A01" w:rsidRDefault="008D5783" w:rsidP="00490C71">
            <w:pPr>
              <w:rPr>
                <w:rFonts w:cstheme="minorHAnsi"/>
                <w:sz w:val="18"/>
                <w:szCs w:val="18"/>
              </w:rPr>
            </w:pPr>
            <w:r w:rsidRPr="00D70A01">
              <w:rPr>
                <w:rFonts w:cstheme="minorHAnsi"/>
                <w:sz w:val="18"/>
                <w:szCs w:val="18"/>
              </w:rPr>
              <w:t>SU/Contractor</w:t>
            </w:r>
          </w:p>
        </w:tc>
        <w:tc>
          <w:tcPr>
            <w:tcW w:w="3934" w:type="dxa"/>
            <w:gridSpan w:val="2"/>
          </w:tcPr>
          <w:p w:rsidR="008D5783" w:rsidRPr="00D70A01" w:rsidRDefault="008D5783" w:rsidP="00490C71">
            <w:pPr>
              <w:rPr>
                <w:rFonts w:cstheme="minorHAnsi"/>
                <w:sz w:val="18"/>
                <w:szCs w:val="18"/>
              </w:rPr>
            </w:pPr>
            <w:r w:rsidRPr="00D70A01">
              <w:rPr>
                <w:rFonts w:cstheme="minorHAnsi"/>
                <w:sz w:val="18"/>
                <w:szCs w:val="18"/>
              </w:rPr>
              <w:t>Signed:</w:t>
            </w:r>
          </w:p>
          <w:p w:rsidR="008D5783" w:rsidRPr="00D70A01" w:rsidRDefault="008D5783" w:rsidP="00490C71">
            <w:pPr>
              <w:rPr>
                <w:rFonts w:cstheme="minorHAnsi"/>
                <w:sz w:val="18"/>
                <w:szCs w:val="18"/>
              </w:rPr>
            </w:pPr>
            <w:r w:rsidRPr="00D70A01">
              <w:rPr>
                <w:rFonts w:cstheme="minorHAnsi"/>
                <w:sz w:val="18"/>
                <w:szCs w:val="18"/>
              </w:rPr>
              <w:t>RDP Agent</w:t>
            </w:r>
          </w:p>
        </w:tc>
      </w:tr>
      <w:tr w:rsidR="008D5783" w:rsidRPr="00D70A01" w:rsidTr="00D70A01">
        <w:tc>
          <w:tcPr>
            <w:tcW w:w="8040" w:type="dxa"/>
            <w:gridSpan w:val="4"/>
            <w:shd w:val="clear" w:color="auto" w:fill="C1E5FF" w:themeFill="background2" w:themeFillTint="33"/>
          </w:tcPr>
          <w:p w:rsidR="008D5783" w:rsidRPr="00D70A01" w:rsidRDefault="008D5783" w:rsidP="00490C71">
            <w:pPr>
              <w:rPr>
                <w:rFonts w:cstheme="minorHAnsi"/>
                <w:b/>
                <w:sz w:val="18"/>
                <w:szCs w:val="18"/>
              </w:rPr>
            </w:pPr>
            <w:r w:rsidRPr="00D70A01">
              <w:rPr>
                <w:rFonts w:cstheme="minorHAnsi"/>
                <w:b/>
                <w:sz w:val="18"/>
                <w:szCs w:val="18"/>
              </w:rPr>
              <w:t>Section 2 –</w:t>
            </w:r>
            <w:r w:rsidR="00EA692A" w:rsidRPr="00D70A01">
              <w:rPr>
                <w:rFonts w:cstheme="minorHAnsi"/>
                <w:b/>
                <w:sz w:val="18"/>
                <w:szCs w:val="18"/>
              </w:rPr>
              <w:t xml:space="preserve"> Requirements of HOSWA</w:t>
            </w:r>
            <w:r w:rsidRPr="00D70A01">
              <w:rPr>
                <w:rFonts w:cstheme="minorHAnsi"/>
                <w:b/>
                <w:sz w:val="18"/>
                <w:szCs w:val="18"/>
              </w:rPr>
              <w:t>:</w:t>
            </w:r>
          </w:p>
        </w:tc>
      </w:tr>
      <w:tr w:rsidR="008D5783" w:rsidRPr="00D70A01" w:rsidTr="00D70A01">
        <w:tc>
          <w:tcPr>
            <w:tcW w:w="8040" w:type="dxa"/>
            <w:gridSpan w:val="4"/>
          </w:tcPr>
          <w:p w:rsidR="008D5783" w:rsidRPr="00D70A01" w:rsidRDefault="008D5783" w:rsidP="008D5783">
            <w:pPr>
              <w:pStyle w:val="ListParagraph"/>
              <w:numPr>
                <w:ilvl w:val="0"/>
                <w:numId w:val="19"/>
              </w:numPr>
              <w:rPr>
                <w:rFonts w:cstheme="minorHAnsi"/>
                <w:sz w:val="18"/>
                <w:szCs w:val="18"/>
              </w:rPr>
            </w:pPr>
            <w:r w:rsidRPr="00D70A01">
              <w:rPr>
                <w:rFonts w:cstheme="minorHAnsi"/>
                <w:sz w:val="18"/>
                <w:szCs w:val="18"/>
              </w:rPr>
              <w:t>The area (with clearly defined access arrangements) as indicated on the above mentioned drawing will be transferred to (named supervisor):</w:t>
            </w:r>
          </w:p>
          <w:p w:rsidR="008D5783" w:rsidRPr="00D70A01" w:rsidRDefault="008D5783" w:rsidP="008D5783">
            <w:pPr>
              <w:pStyle w:val="ListParagraph"/>
              <w:rPr>
                <w:rFonts w:cstheme="minorHAnsi"/>
                <w:sz w:val="18"/>
                <w:szCs w:val="18"/>
              </w:rPr>
            </w:pPr>
            <w:r w:rsidRPr="00D70A01">
              <w:rPr>
                <w:rFonts w:cstheme="minorHAnsi"/>
                <w:sz w:val="18"/>
                <w:szCs w:val="18"/>
              </w:rPr>
              <w:t>………………………………………………………………………</w:t>
            </w:r>
          </w:p>
          <w:p w:rsidR="008D5783" w:rsidRPr="00D70A01" w:rsidRDefault="008D5783" w:rsidP="008D5783">
            <w:pPr>
              <w:pStyle w:val="ListParagraph"/>
              <w:numPr>
                <w:ilvl w:val="0"/>
                <w:numId w:val="19"/>
              </w:numPr>
              <w:rPr>
                <w:rFonts w:cstheme="minorHAnsi"/>
                <w:sz w:val="18"/>
                <w:szCs w:val="18"/>
              </w:rPr>
            </w:pPr>
            <w:r w:rsidRPr="00D70A01">
              <w:rPr>
                <w:rFonts w:cstheme="minorHAnsi"/>
                <w:sz w:val="18"/>
                <w:szCs w:val="18"/>
              </w:rPr>
              <w:t>No RDP construction plant/personnel will enter the area during the above period without permission</w:t>
            </w:r>
          </w:p>
          <w:p w:rsidR="008D5783" w:rsidRPr="00D70A01" w:rsidRDefault="008D5783" w:rsidP="008D5783">
            <w:pPr>
              <w:pStyle w:val="ListParagraph"/>
              <w:numPr>
                <w:ilvl w:val="0"/>
                <w:numId w:val="19"/>
              </w:numPr>
              <w:rPr>
                <w:rFonts w:cstheme="minorHAnsi"/>
                <w:sz w:val="18"/>
                <w:szCs w:val="18"/>
              </w:rPr>
            </w:pPr>
            <w:r w:rsidRPr="00D70A01">
              <w:rPr>
                <w:rFonts w:cstheme="minorHAnsi"/>
                <w:sz w:val="18"/>
                <w:szCs w:val="18"/>
              </w:rPr>
              <w:t>Site signage including a copy of the handover documentation to be displayed at the entrance to the site</w:t>
            </w:r>
          </w:p>
          <w:p w:rsidR="008D5783" w:rsidRPr="00D70A01" w:rsidRDefault="008D5783" w:rsidP="008D5783">
            <w:pPr>
              <w:pStyle w:val="ListParagraph"/>
              <w:numPr>
                <w:ilvl w:val="0"/>
                <w:numId w:val="19"/>
              </w:numPr>
              <w:rPr>
                <w:rFonts w:cstheme="minorHAnsi"/>
                <w:sz w:val="18"/>
                <w:szCs w:val="18"/>
              </w:rPr>
            </w:pPr>
            <w:r w:rsidRPr="00D70A01">
              <w:rPr>
                <w:rFonts w:cstheme="minorHAnsi"/>
                <w:sz w:val="18"/>
                <w:szCs w:val="18"/>
              </w:rPr>
              <w:t xml:space="preserve">Upon completion of the works, the area will be reinstated to ensure all excavations are suitably backfilled and the area is safe for RDP plant / equipment / personnel to enter. </w:t>
            </w:r>
          </w:p>
          <w:p w:rsidR="008D5783" w:rsidRPr="00D70A01" w:rsidRDefault="008D5783" w:rsidP="008D5783">
            <w:pPr>
              <w:pStyle w:val="ListParagraph"/>
              <w:numPr>
                <w:ilvl w:val="0"/>
                <w:numId w:val="19"/>
              </w:numPr>
              <w:rPr>
                <w:rFonts w:cstheme="minorHAnsi"/>
                <w:sz w:val="18"/>
                <w:szCs w:val="18"/>
              </w:rPr>
            </w:pPr>
            <w:r w:rsidRPr="00D70A01">
              <w:rPr>
                <w:rFonts w:cstheme="minorHAnsi"/>
                <w:sz w:val="18"/>
                <w:szCs w:val="18"/>
              </w:rPr>
              <w:t>Details of newly installed apparatus to be marked out on site and drawings provided so that project drawings can be appropriately updated.</w:t>
            </w:r>
          </w:p>
        </w:tc>
      </w:tr>
      <w:tr w:rsidR="008D5783" w:rsidRPr="00D70A01" w:rsidTr="00D70A01">
        <w:tc>
          <w:tcPr>
            <w:tcW w:w="8040" w:type="dxa"/>
            <w:gridSpan w:val="4"/>
            <w:shd w:val="clear" w:color="auto" w:fill="C1E5FF" w:themeFill="background2" w:themeFillTint="33"/>
          </w:tcPr>
          <w:p w:rsidR="008D5783" w:rsidRPr="00D70A01" w:rsidRDefault="00EA692A" w:rsidP="008D5783">
            <w:pPr>
              <w:rPr>
                <w:rFonts w:cstheme="minorHAnsi"/>
                <w:b/>
                <w:sz w:val="18"/>
                <w:szCs w:val="18"/>
              </w:rPr>
            </w:pPr>
            <w:r w:rsidRPr="00D70A01">
              <w:rPr>
                <w:rFonts w:cstheme="minorHAnsi"/>
                <w:b/>
                <w:sz w:val="18"/>
                <w:szCs w:val="18"/>
              </w:rPr>
              <w:t>Section 3 – Receipt:</w:t>
            </w:r>
          </w:p>
        </w:tc>
      </w:tr>
      <w:tr w:rsidR="00EA692A" w:rsidRPr="00D70A01" w:rsidTr="00D70A01">
        <w:tc>
          <w:tcPr>
            <w:tcW w:w="8040" w:type="dxa"/>
            <w:gridSpan w:val="4"/>
            <w:shd w:val="clear" w:color="auto" w:fill="auto"/>
          </w:tcPr>
          <w:p w:rsidR="00EA692A" w:rsidRPr="00D70A01" w:rsidRDefault="00EA692A" w:rsidP="008D5783">
            <w:pPr>
              <w:rPr>
                <w:rFonts w:cstheme="minorHAnsi"/>
                <w:sz w:val="18"/>
                <w:szCs w:val="18"/>
              </w:rPr>
            </w:pPr>
            <w:r w:rsidRPr="00D70A01">
              <w:rPr>
                <w:rFonts w:cstheme="minorHAnsi"/>
                <w:sz w:val="18"/>
                <w:szCs w:val="18"/>
              </w:rPr>
              <w:t>I hereby acknowledge receipt of this Work Area Handover notice accept full occupancy of the site described above for the stated period.</w:t>
            </w:r>
          </w:p>
        </w:tc>
      </w:tr>
      <w:tr w:rsidR="005B7FB2" w:rsidRPr="00D70A01" w:rsidTr="00D70A01">
        <w:tc>
          <w:tcPr>
            <w:tcW w:w="8040" w:type="dxa"/>
            <w:gridSpan w:val="4"/>
            <w:shd w:val="clear" w:color="auto" w:fill="auto"/>
          </w:tcPr>
          <w:p w:rsidR="005B7FB2" w:rsidRPr="00D70A01" w:rsidRDefault="005B7FB2" w:rsidP="008D5783">
            <w:pPr>
              <w:rPr>
                <w:rFonts w:cstheme="minorHAnsi"/>
                <w:sz w:val="18"/>
                <w:szCs w:val="18"/>
              </w:rPr>
            </w:pPr>
            <w:r w:rsidRPr="00D70A01">
              <w:rPr>
                <w:rFonts w:cstheme="minorHAnsi"/>
                <w:sz w:val="18"/>
                <w:szCs w:val="18"/>
              </w:rPr>
              <w:t xml:space="preserve">Signed:                                              Print name:                            Date:          Time: </w:t>
            </w:r>
          </w:p>
          <w:p w:rsidR="005B7FB2" w:rsidRPr="00D70A01" w:rsidRDefault="005B7FB2" w:rsidP="008D5783">
            <w:pPr>
              <w:rPr>
                <w:rFonts w:cstheme="minorHAnsi"/>
                <w:sz w:val="18"/>
                <w:szCs w:val="18"/>
              </w:rPr>
            </w:pPr>
            <w:r w:rsidRPr="00D70A01">
              <w:rPr>
                <w:rFonts w:cstheme="minorHAnsi"/>
                <w:sz w:val="18"/>
                <w:szCs w:val="18"/>
              </w:rPr>
              <w:t>(SU/Contractor Agent/Supervisor)</w:t>
            </w:r>
          </w:p>
        </w:tc>
      </w:tr>
      <w:tr w:rsidR="00EA692A" w:rsidRPr="00D70A01" w:rsidTr="00D70A01">
        <w:tc>
          <w:tcPr>
            <w:tcW w:w="8040" w:type="dxa"/>
            <w:gridSpan w:val="4"/>
            <w:shd w:val="clear" w:color="auto" w:fill="C1E5FF" w:themeFill="background2" w:themeFillTint="33"/>
          </w:tcPr>
          <w:p w:rsidR="00EA692A" w:rsidRPr="00D70A01" w:rsidRDefault="00EA692A" w:rsidP="00490C71">
            <w:pPr>
              <w:rPr>
                <w:rFonts w:cstheme="minorHAnsi"/>
                <w:b/>
                <w:sz w:val="18"/>
                <w:szCs w:val="18"/>
              </w:rPr>
            </w:pPr>
            <w:r w:rsidRPr="00D70A01">
              <w:rPr>
                <w:rFonts w:cstheme="minorHAnsi"/>
                <w:b/>
                <w:sz w:val="18"/>
                <w:szCs w:val="18"/>
              </w:rPr>
              <w:t>Section 4 – Contacts:</w:t>
            </w:r>
          </w:p>
        </w:tc>
      </w:tr>
      <w:tr w:rsidR="005B7FB2" w:rsidRPr="00D70A01" w:rsidTr="00D70A01">
        <w:tc>
          <w:tcPr>
            <w:tcW w:w="4106" w:type="dxa"/>
            <w:gridSpan w:val="2"/>
          </w:tcPr>
          <w:p w:rsidR="005B7FB2" w:rsidRPr="00D70A01" w:rsidRDefault="005B7FB2" w:rsidP="00490C71">
            <w:pPr>
              <w:rPr>
                <w:rFonts w:cstheme="minorHAnsi"/>
                <w:sz w:val="18"/>
                <w:szCs w:val="18"/>
              </w:rPr>
            </w:pPr>
            <w:r w:rsidRPr="00D70A01">
              <w:rPr>
                <w:rFonts w:cstheme="minorHAnsi"/>
                <w:sz w:val="18"/>
                <w:szCs w:val="18"/>
              </w:rPr>
              <w:t>SU/Contractor Representative</w:t>
            </w:r>
          </w:p>
          <w:p w:rsidR="005B7FB2" w:rsidRPr="00D70A01" w:rsidRDefault="005B7FB2" w:rsidP="00490C71">
            <w:pPr>
              <w:rPr>
                <w:rFonts w:cstheme="minorHAnsi"/>
                <w:sz w:val="18"/>
                <w:szCs w:val="18"/>
              </w:rPr>
            </w:pPr>
            <w:r w:rsidRPr="00D70A01">
              <w:rPr>
                <w:rFonts w:cstheme="minorHAnsi"/>
                <w:sz w:val="18"/>
                <w:szCs w:val="18"/>
              </w:rPr>
              <w:t xml:space="preserve">(print names) </w:t>
            </w:r>
          </w:p>
        </w:tc>
        <w:tc>
          <w:tcPr>
            <w:tcW w:w="3934" w:type="dxa"/>
            <w:gridSpan w:val="2"/>
          </w:tcPr>
          <w:p w:rsidR="005B7FB2" w:rsidRPr="00D70A01" w:rsidRDefault="005B7FB2" w:rsidP="00490C71">
            <w:pPr>
              <w:rPr>
                <w:rFonts w:cstheme="minorHAnsi"/>
                <w:sz w:val="18"/>
                <w:szCs w:val="18"/>
              </w:rPr>
            </w:pPr>
            <w:r w:rsidRPr="00D70A01">
              <w:rPr>
                <w:rFonts w:cstheme="minorHAnsi"/>
                <w:sz w:val="18"/>
                <w:szCs w:val="18"/>
              </w:rPr>
              <w:t>RDP Representative</w:t>
            </w:r>
          </w:p>
          <w:p w:rsidR="005B7FB2" w:rsidRPr="00D70A01" w:rsidRDefault="005B7FB2" w:rsidP="00490C71">
            <w:pPr>
              <w:rPr>
                <w:rFonts w:cstheme="minorHAnsi"/>
                <w:sz w:val="18"/>
                <w:szCs w:val="18"/>
              </w:rPr>
            </w:pPr>
          </w:p>
        </w:tc>
      </w:tr>
      <w:tr w:rsidR="005B7FB2" w:rsidRPr="00D70A01" w:rsidTr="00D70A01">
        <w:tc>
          <w:tcPr>
            <w:tcW w:w="4106" w:type="dxa"/>
            <w:gridSpan w:val="2"/>
          </w:tcPr>
          <w:p w:rsidR="005B7FB2" w:rsidRPr="00D70A01" w:rsidRDefault="005B7FB2" w:rsidP="00490C71">
            <w:pPr>
              <w:rPr>
                <w:rFonts w:cstheme="minorHAnsi"/>
                <w:sz w:val="18"/>
                <w:szCs w:val="18"/>
              </w:rPr>
            </w:pPr>
            <w:r w:rsidRPr="00D70A01">
              <w:rPr>
                <w:rFonts w:cstheme="minorHAnsi"/>
                <w:sz w:val="18"/>
                <w:szCs w:val="18"/>
              </w:rPr>
              <w:t>Telephone number (include emergency)</w:t>
            </w:r>
          </w:p>
          <w:p w:rsidR="005B7FB2" w:rsidRPr="00D70A01" w:rsidRDefault="005B7FB2" w:rsidP="00490C71">
            <w:pPr>
              <w:rPr>
                <w:rFonts w:cstheme="minorHAnsi"/>
                <w:sz w:val="18"/>
                <w:szCs w:val="18"/>
              </w:rPr>
            </w:pPr>
          </w:p>
        </w:tc>
        <w:tc>
          <w:tcPr>
            <w:tcW w:w="3934" w:type="dxa"/>
            <w:gridSpan w:val="2"/>
          </w:tcPr>
          <w:p w:rsidR="005B7FB2" w:rsidRPr="00D70A01" w:rsidRDefault="005B7FB2" w:rsidP="00490C71">
            <w:pPr>
              <w:rPr>
                <w:rFonts w:cstheme="minorHAnsi"/>
                <w:sz w:val="18"/>
                <w:szCs w:val="18"/>
              </w:rPr>
            </w:pPr>
            <w:r w:rsidRPr="00D70A01">
              <w:rPr>
                <w:rFonts w:cstheme="minorHAnsi"/>
                <w:sz w:val="18"/>
                <w:szCs w:val="18"/>
              </w:rPr>
              <w:t>Telephone number (include emergency)</w:t>
            </w:r>
          </w:p>
        </w:tc>
      </w:tr>
      <w:tr w:rsidR="005B7FB2" w:rsidRPr="00D70A01" w:rsidTr="00D70A01">
        <w:tc>
          <w:tcPr>
            <w:tcW w:w="8040" w:type="dxa"/>
            <w:gridSpan w:val="4"/>
            <w:shd w:val="clear" w:color="auto" w:fill="auto"/>
          </w:tcPr>
          <w:p w:rsidR="005B7FB2" w:rsidRPr="00D70A01" w:rsidRDefault="005B7FB2" w:rsidP="00490C71">
            <w:pPr>
              <w:rPr>
                <w:rFonts w:cstheme="minorHAnsi"/>
                <w:sz w:val="18"/>
                <w:szCs w:val="18"/>
              </w:rPr>
            </w:pPr>
            <w:r w:rsidRPr="00D70A01">
              <w:rPr>
                <w:rFonts w:cstheme="minorHAnsi"/>
                <w:b/>
                <w:sz w:val="18"/>
                <w:szCs w:val="18"/>
              </w:rPr>
              <w:t xml:space="preserve">ALL </w:t>
            </w:r>
            <w:r w:rsidRPr="00D70A01">
              <w:rPr>
                <w:rFonts w:cstheme="minorHAnsi"/>
                <w:sz w:val="18"/>
                <w:szCs w:val="18"/>
              </w:rPr>
              <w:t xml:space="preserve">visitors including RDP staff and their contractors must report to the SU/Contractor’s Site Agent/Representative if they </w:t>
            </w:r>
            <w:r w:rsidR="00D70A01" w:rsidRPr="00D70A01">
              <w:rPr>
                <w:rFonts w:cstheme="minorHAnsi"/>
                <w:sz w:val="18"/>
                <w:szCs w:val="18"/>
              </w:rPr>
              <w:t xml:space="preserve">wish to enter site during the transfer </w:t>
            </w:r>
            <w:r w:rsidRPr="00D70A01">
              <w:rPr>
                <w:rFonts w:cstheme="minorHAnsi"/>
                <w:sz w:val="18"/>
                <w:szCs w:val="18"/>
              </w:rPr>
              <w:t>period</w:t>
            </w:r>
          </w:p>
        </w:tc>
      </w:tr>
      <w:tr w:rsidR="00D70A01" w:rsidRPr="00D70A01" w:rsidTr="00D70A01">
        <w:tc>
          <w:tcPr>
            <w:tcW w:w="8040" w:type="dxa"/>
            <w:gridSpan w:val="4"/>
            <w:shd w:val="clear" w:color="auto" w:fill="C1E5FF" w:themeFill="background2" w:themeFillTint="33"/>
          </w:tcPr>
          <w:p w:rsidR="00D70A01" w:rsidRPr="00D70A01" w:rsidRDefault="00D70A01" w:rsidP="00490C71">
            <w:pPr>
              <w:rPr>
                <w:rFonts w:cstheme="minorHAnsi"/>
                <w:b/>
                <w:sz w:val="18"/>
                <w:szCs w:val="18"/>
              </w:rPr>
            </w:pPr>
            <w:r w:rsidRPr="00D70A01">
              <w:rPr>
                <w:rFonts w:cstheme="minorHAnsi"/>
                <w:b/>
                <w:sz w:val="18"/>
                <w:szCs w:val="18"/>
              </w:rPr>
              <w:t>Section 5 – Cancellation:</w:t>
            </w:r>
          </w:p>
        </w:tc>
      </w:tr>
      <w:tr w:rsidR="00D70A01" w:rsidRPr="00D70A01" w:rsidTr="00D70A01">
        <w:tc>
          <w:tcPr>
            <w:tcW w:w="8040" w:type="dxa"/>
            <w:gridSpan w:val="4"/>
            <w:shd w:val="clear" w:color="auto" w:fill="auto"/>
          </w:tcPr>
          <w:p w:rsidR="00D70A01" w:rsidRPr="00D70A01" w:rsidRDefault="00D70A01" w:rsidP="00490C71">
            <w:pPr>
              <w:rPr>
                <w:rFonts w:cstheme="minorHAnsi"/>
                <w:sz w:val="18"/>
                <w:szCs w:val="18"/>
              </w:rPr>
            </w:pPr>
            <w:r w:rsidRPr="00D70A01">
              <w:rPr>
                <w:rFonts w:cstheme="minorHAnsi"/>
                <w:sz w:val="18"/>
                <w:szCs w:val="18"/>
              </w:rPr>
              <w:t>I hereby declare this Work Area transfer is now cancelled and occupancy of the site returns to the RDP</w:t>
            </w:r>
          </w:p>
        </w:tc>
      </w:tr>
      <w:tr w:rsidR="00D70A01" w:rsidTr="00D70A01">
        <w:tc>
          <w:tcPr>
            <w:tcW w:w="3251" w:type="dxa"/>
          </w:tcPr>
          <w:p w:rsidR="00D70A01" w:rsidRDefault="00D70A01" w:rsidP="000F5906">
            <w:r>
              <w:t>Signed:</w:t>
            </w:r>
          </w:p>
          <w:p w:rsidR="00D70A01" w:rsidRDefault="00D70A01" w:rsidP="000F5906">
            <w:r>
              <w:t>(SU/Contractor Agent/Supervisor)</w:t>
            </w:r>
          </w:p>
        </w:tc>
        <w:tc>
          <w:tcPr>
            <w:tcW w:w="855" w:type="dxa"/>
          </w:tcPr>
          <w:p w:rsidR="00D70A01" w:rsidRDefault="00D70A01" w:rsidP="000F5906">
            <w:r>
              <w:t>Print name:</w:t>
            </w:r>
          </w:p>
        </w:tc>
        <w:tc>
          <w:tcPr>
            <w:tcW w:w="2977" w:type="dxa"/>
          </w:tcPr>
          <w:p w:rsidR="00D70A01" w:rsidRDefault="00D70A01" w:rsidP="000F5906">
            <w:r>
              <w:t>Date:</w:t>
            </w:r>
          </w:p>
          <w:p w:rsidR="00D70A01" w:rsidRDefault="00D70A01" w:rsidP="000F5906"/>
        </w:tc>
        <w:tc>
          <w:tcPr>
            <w:tcW w:w="957" w:type="dxa"/>
          </w:tcPr>
          <w:p w:rsidR="00D70A01" w:rsidRDefault="00D70A01" w:rsidP="000F5906">
            <w:r>
              <w:t>Time:</w:t>
            </w:r>
          </w:p>
        </w:tc>
      </w:tr>
      <w:tr w:rsidR="00D70A01" w:rsidTr="00D70A01">
        <w:tc>
          <w:tcPr>
            <w:tcW w:w="3251" w:type="dxa"/>
          </w:tcPr>
          <w:p w:rsidR="00D70A01" w:rsidRDefault="00D70A01" w:rsidP="000F5906">
            <w:r>
              <w:t>Signed:</w:t>
            </w:r>
          </w:p>
          <w:p w:rsidR="00D70A01" w:rsidRDefault="00D70A01" w:rsidP="000F5906">
            <w:r>
              <w:t>(RDP Agent</w:t>
            </w:r>
            <w:r>
              <w:t>)</w:t>
            </w:r>
          </w:p>
        </w:tc>
        <w:tc>
          <w:tcPr>
            <w:tcW w:w="855" w:type="dxa"/>
          </w:tcPr>
          <w:p w:rsidR="00D70A01" w:rsidRDefault="00D70A01" w:rsidP="000F5906">
            <w:r>
              <w:t>Print name:</w:t>
            </w:r>
          </w:p>
        </w:tc>
        <w:tc>
          <w:tcPr>
            <w:tcW w:w="2977" w:type="dxa"/>
          </w:tcPr>
          <w:p w:rsidR="00D70A01" w:rsidRDefault="00D70A01" w:rsidP="000F5906">
            <w:r>
              <w:t>Date:</w:t>
            </w:r>
          </w:p>
          <w:p w:rsidR="00D70A01" w:rsidRDefault="00D70A01" w:rsidP="000F5906"/>
        </w:tc>
        <w:tc>
          <w:tcPr>
            <w:tcW w:w="957" w:type="dxa"/>
          </w:tcPr>
          <w:p w:rsidR="00D70A01" w:rsidRDefault="00D70A01" w:rsidP="000F5906">
            <w:r>
              <w:t>Time:</w:t>
            </w:r>
          </w:p>
        </w:tc>
      </w:tr>
    </w:tbl>
    <w:p w:rsidR="00F243CA" w:rsidRPr="00D70A01" w:rsidRDefault="00F243CA" w:rsidP="00D70A01">
      <w:pPr>
        <w:rPr>
          <w:rFonts w:cstheme="minorHAnsi"/>
          <w:sz w:val="18"/>
          <w:szCs w:val="18"/>
        </w:rPr>
      </w:pPr>
      <w:bookmarkStart w:id="0" w:name="_GoBack"/>
      <w:bookmarkEnd w:id="0"/>
    </w:p>
    <w:sectPr w:rsidR="00F243CA" w:rsidRPr="00D70A01" w:rsidSect="007B7374">
      <w:footerReference w:type="default" r:id="rId13"/>
      <w:type w:val="continuous"/>
      <w:pgSz w:w="11906" w:h="16838" w:code="9"/>
      <w:pgMar w:top="1701" w:right="1871" w:bottom="1418" w:left="198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29D" w:rsidRDefault="0095429D" w:rsidP="0005368C">
      <w:pPr>
        <w:spacing w:line="240" w:lineRule="auto"/>
      </w:pPr>
      <w:r>
        <w:separator/>
      </w:r>
    </w:p>
  </w:endnote>
  <w:endnote w:type="continuationSeparator" w:id="0">
    <w:p w:rsidR="0095429D" w:rsidRDefault="0095429D" w:rsidP="00053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68C" w:rsidRPr="0005368C" w:rsidRDefault="0005368C">
    <w:pPr>
      <w:pStyle w:val="Footer"/>
    </w:pPr>
    <w:r w:rsidRPr="0005368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29D" w:rsidRDefault="0095429D" w:rsidP="0005368C">
      <w:pPr>
        <w:spacing w:line="240" w:lineRule="auto"/>
      </w:pPr>
      <w:r>
        <w:separator/>
      </w:r>
    </w:p>
  </w:footnote>
  <w:footnote w:type="continuationSeparator" w:id="0">
    <w:p w:rsidR="0095429D" w:rsidRDefault="0095429D" w:rsidP="000536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AA44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0EF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0C6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BCDC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745B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C61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DA5D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3093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C8A048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DD55B4"/>
    <w:multiLevelType w:val="hybridMultilevel"/>
    <w:tmpl w:val="AC420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FB1581"/>
    <w:multiLevelType w:val="multilevel"/>
    <w:tmpl w:val="3FA63E9C"/>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
      <w:lvlJc w:val="left"/>
      <w:pPr>
        <w:ind w:left="1080" w:hanging="360"/>
      </w:pPr>
      <w:rPr>
        <w:rFonts w:ascii="Symbol" w:hAnsi="Symbol" w:hint="default"/>
      </w:rPr>
    </w:lvl>
    <w:lvl w:ilvl="3">
      <w:start w:val="1"/>
      <w:numFmt w:val="bullet"/>
      <w:pStyle w:val="ListBullet4"/>
      <w:lvlText w:val=""/>
      <w:lvlJc w:val="left"/>
      <w:pPr>
        <w:ind w:left="1440" w:hanging="360"/>
      </w:pPr>
      <w:rPr>
        <w:rFonts w:ascii="Symbol" w:hAnsi="Symbol" w:hint="default"/>
      </w:rPr>
    </w:lvl>
    <w:lvl w:ilvl="4">
      <w:start w:val="1"/>
      <w:numFmt w:val="bullet"/>
      <w:pStyle w:val="ListBullet5"/>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4C47B2"/>
    <w:multiLevelType w:val="multilevel"/>
    <w:tmpl w:val="4C140230"/>
    <w:name w:val="Skanska"/>
    <w:lvl w:ilvl="0">
      <w:start w:val="1"/>
      <w:numFmt w:val="decimal"/>
      <w:pStyle w:val="NumberedHeading1"/>
      <w:lvlText w:val="%1"/>
      <w:lvlJc w:val="left"/>
      <w:pPr>
        <w:tabs>
          <w:tab w:val="num" w:pos="567"/>
        </w:tabs>
        <w:ind w:left="567" w:hanging="567"/>
      </w:pPr>
      <w:rPr>
        <w:rFonts w:hint="default"/>
      </w:rPr>
    </w:lvl>
    <w:lvl w:ilvl="1">
      <w:start w:val="1"/>
      <w:numFmt w:val="decimal"/>
      <w:pStyle w:val="NumberedHeading2"/>
      <w:lvlText w:val="%1.%2"/>
      <w:lvlJc w:val="left"/>
      <w:pPr>
        <w:tabs>
          <w:tab w:val="num" w:pos="737"/>
        </w:tabs>
        <w:ind w:left="737" w:hanging="737"/>
      </w:pPr>
      <w:rPr>
        <w:rFonts w:hint="default"/>
      </w:rPr>
    </w:lvl>
    <w:lvl w:ilvl="2">
      <w:start w:val="1"/>
      <w:numFmt w:val="decimal"/>
      <w:pStyle w:val="NumberedHeading3"/>
      <w:lvlText w:val="%1.%2.%3"/>
      <w:lvlJc w:val="left"/>
      <w:pPr>
        <w:tabs>
          <w:tab w:val="num" w:pos="851"/>
        </w:tabs>
        <w:ind w:left="851" w:hanging="851"/>
      </w:pPr>
      <w:rPr>
        <w:rFonts w:hint="default"/>
      </w:rPr>
    </w:lvl>
    <w:lvl w:ilvl="3">
      <w:start w:val="1"/>
      <w:numFmt w:val="decimal"/>
      <w:pStyle w:val="NumberedHeading4"/>
      <w:lvlText w:val="%1.%2.%3.%4"/>
      <w:lvlJc w:val="left"/>
      <w:pPr>
        <w:tabs>
          <w:tab w:val="num" w:pos="992"/>
        </w:tabs>
        <w:ind w:left="992" w:hanging="992"/>
      </w:pPr>
      <w:rPr>
        <w:rFonts w:hint="default"/>
        <w:u w:val="single" w:color="000000" w:themeColor="text1"/>
      </w:rPr>
    </w:lvl>
    <w:lvl w:ilvl="4">
      <w:start w:val="1"/>
      <w:numFmt w:val="decimal"/>
      <w:pStyle w:val="NumberedHeading5"/>
      <w:lvlText w:val="%1.%2.%3.%4.%5"/>
      <w:lvlJc w:val="left"/>
      <w:pPr>
        <w:tabs>
          <w:tab w:val="num" w:pos="1077"/>
        </w:tabs>
        <w:ind w:left="1077" w:hanging="1077"/>
      </w:pPr>
      <w:rPr>
        <w:rFonts w:hint="default"/>
      </w:rPr>
    </w:lvl>
    <w:lvl w:ilvl="5">
      <w:start w:val="1"/>
      <w:numFmt w:val="decimal"/>
      <w:pStyle w:val="NumberedHeading6"/>
      <w:lvlText w:val="%1.%2.%3.%4.%5.%6"/>
      <w:lvlJc w:val="left"/>
      <w:pPr>
        <w:tabs>
          <w:tab w:val="num" w:pos="1191"/>
        </w:tabs>
        <w:ind w:left="1191" w:hanging="1191"/>
      </w:pPr>
      <w:rPr>
        <w:rFonts w:hint="default"/>
      </w:rPr>
    </w:lvl>
    <w:lvl w:ilvl="6">
      <w:start w:val="1"/>
      <w:numFmt w:val="decimal"/>
      <w:pStyle w:val="NumberedHeading7"/>
      <w:lvlText w:val="%1.%2.%3.%4.%5.%6.%7"/>
      <w:lvlJc w:val="left"/>
      <w:pPr>
        <w:tabs>
          <w:tab w:val="num" w:pos="1304"/>
        </w:tabs>
        <w:ind w:left="1304" w:hanging="1304"/>
      </w:pPr>
      <w:rPr>
        <w:rFonts w:hint="default"/>
      </w:rPr>
    </w:lvl>
    <w:lvl w:ilvl="7">
      <w:start w:val="1"/>
      <w:numFmt w:val="decimal"/>
      <w:pStyle w:val="NumberedHeading8"/>
      <w:lvlText w:val="%1.%2.%3.%4.%5.%6.%7.%8"/>
      <w:lvlJc w:val="left"/>
      <w:pPr>
        <w:tabs>
          <w:tab w:val="num" w:pos="1418"/>
        </w:tabs>
        <w:ind w:left="1418" w:hanging="1418"/>
      </w:pPr>
      <w:rPr>
        <w:rFonts w:hint="default"/>
      </w:rPr>
    </w:lvl>
    <w:lvl w:ilvl="8">
      <w:start w:val="1"/>
      <w:numFmt w:val="decimal"/>
      <w:pStyle w:val="NumberedHeading9"/>
      <w:lvlText w:val="%1.%2.%3.%4.%5.%6.%7.%8.%9"/>
      <w:lvlJc w:val="left"/>
      <w:pPr>
        <w:tabs>
          <w:tab w:val="num" w:pos="1588"/>
        </w:tabs>
        <w:ind w:left="1588" w:hanging="1588"/>
      </w:pPr>
      <w:rPr>
        <w:rFonts w:hint="default"/>
      </w:rPr>
    </w:lvl>
  </w:abstractNum>
  <w:abstractNum w:abstractNumId="12" w15:restartNumberingAfterBreak="0">
    <w:nsid w:val="2ED96E7A"/>
    <w:multiLevelType w:val="multilevel"/>
    <w:tmpl w:val="4F80414A"/>
    <w:lvl w:ilvl="0">
      <w:start w:val="1"/>
      <w:numFmt w:val="bullet"/>
      <w:lvlText w:val=""/>
      <w:lvlJc w:val="left"/>
      <w:pPr>
        <w:tabs>
          <w:tab w:val="num" w:pos="624"/>
        </w:tabs>
        <w:ind w:left="567" w:hanging="283"/>
      </w:pPr>
      <w:rPr>
        <w:rFonts w:ascii="Symbol" w:hAnsi="Symbol" w:hint="default"/>
      </w:rPr>
    </w:lvl>
    <w:lvl w:ilvl="1">
      <w:start w:val="1"/>
      <w:numFmt w:val="bullet"/>
      <w:lvlText w:val="­"/>
      <w:lvlJc w:val="left"/>
      <w:pPr>
        <w:tabs>
          <w:tab w:val="num" w:pos="851"/>
        </w:tabs>
        <w:ind w:left="851" w:hanging="283"/>
      </w:pPr>
      <w:rPr>
        <w:rFonts w:ascii="Arial" w:hAnsi="Arial" w:hint="default"/>
      </w:rPr>
    </w:lvl>
    <w:lvl w:ilvl="2">
      <w:start w:val="1"/>
      <w:numFmt w:val="bullet"/>
      <w:lvlText w:val=""/>
      <w:lvlJc w:val="left"/>
      <w:pPr>
        <w:tabs>
          <w:tab w:val="num" w:pos="1192"/>
        </w:tabs>
        <w:ind w:left="1135" w:hanging="283"/>
      </w:pPr>
      <w:rPr>
        <w:rFonts w:ascii="Wingdings" w:hAnsi="Wingdings" w:hint="default"/>
      </w:rPr>
    </w:lvl>
    <w:lvl w:ilvl="3">
      <w:start w:val="1"/>
      <w:numFmt w:val="bullet"/>
      <w:lvlText w:val=""/>
      <w:lvlJc w:val="left"/>
      <w:pPr>
        <w:tabs>
          <w:tab w:val="num" w:pos="1476"/>
        </w:tabs>
        <w:ind w:left="1419" w:hanging="283"/>
      </w:pPr>
      <w:rPr>
        <w:rFonts w:ascii="Symbol" w:hAnsi="Symbol" w:hint="default"/>
      </w:rPr>
    </w:lvl>
    <w:lvl w:ilvl="4">
      <w:start w:val="1"/>
      <w:numFmt w:val="bullet"/>
      <w:lvlText w:val="o"/>
      <w:lvlJc w:val="left"/>
      <w:pPr>
        <w:tabs>
          <w:tab w:val="num" w:pos="1760"/>
        </w:tabs>
        <w:ind w:left="1703" w:hanging="283"/>
      </w:pPr>
      <w:rPr>
        <w:rFonts w:ascii="Courier New" w:hAnsi="Courier New" w:cs="Courier New" w:hint="default"/>
      </w:rPr>
    </w:lvl>
    <w:lvl w:ilvl="5">
      <w:start w:val="1"/>
      <w:numFmt w:val="bullet"/>
      <w:lvlText w:val=""/>
      <w:lvlJc w:val="left"/>
      <w:pPr>
        <w:tabs>
          <w:tab w:val="num" w:pos="2044"/>
        </w:tabs>
        <w:ind w:left="1987" w:hanging="283"/>
      </w:pPr>
      <w:rPr>
        <w:rFonts w:ascii="Wingdings" w:hAnsi="Wingdings" w:hint="default"/>
      </w:rPr>
    </w:lvl>
    <w:lvl w:ilvl="6">
      <w:start w:val="1"/>
      <w:numFmt w:val="bullet"/>
      <w:lvlText w:val=""/>
      <w:lvlJc w:val="left"/>
      <w:pPr>
        <w:tabs>
          <w:tab w:val="num" w:pos="2328"/>
        </w:tabs>
        <w:ind w:left="2271" w:hanging="283"/>
      </w:pPr>
      <w:rPr>
        <w:rFonts w:ascii="Symbol" w:hAnsi="Symbol" w:hint="default"/>
      </w:rPr>
    </w:lvl>
    <w:lvl w:ilvl="7">
      <w:start w:val="1"/>
      <w:numFmt w:val="bullet"/>
      <w:lvlText w:val="o"/>
      <w:lvlJc w:val="left"/>
      <w:pPr>
        <w:tabs>
          <w:tab w:val="num" w:pos="2612"/>
        </w:tabs>
        <w:ind w:left="2555" w:hanging="283"/>
      </w:pPr>
      <w:rPr>
        <w:rFonts w:ascii="Courier New" w:hAnsi="Courier New" w:cs="Courier New" w:hint="default"/>
      </w:rPr>
    </w:lvl>
    <w:lvl w:ilvl="8">
      <w:start w:val="1"/>
      <w:numFmt w:val="bullet"/>
      <w:lvlText w:val=""/>
      <w:lvlJc w:val="left"/>
      <w:pPr>
        <w:tabs>
          <w:tab w:val="num" w:pos="2896"/>
        </w:tabs>
        <w:ind w:left="2839" w:hanging="283"/>
      </w:pPr>
      <w:rPr>
        <w:rFonts w:ascii="Wingdings" w:hAnsi="Wingdings" w:hint="default"/>
      </w:rPr>
    </w:lvl>
  </w:abstractNum>
  <w:abstractNum w:abstractNumId="13" w15:restartNumberingAfterBreak="0">
    <w:nsid w:val="3C1C3F20"/>
    <w:multiLevelType w:val="multilevel"/>
    <w:tmpl w:val="60C6F7D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6559C"/>
    <w:multiLevelType w:val="hybridMultilevel"/>
    <w:tmpl w:val="783C1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D280E"/>
    <w:multiLevelType w:val="hybridMultilevel"/>
    <w:tmpl w:val="3AAC6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881FFA"/>
    <w:multiLevelType w:val="hybridMultilevel"/>
    <w:tmpl w:val="4824F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1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9"/>
  </w:num>
  <w:num w:numId="17">
    <w:abstractNumId w:val="15"/>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C71"/>
    <w:rsid w:val="00004459"/>
    <w:rsid w:val="00014490"/>
    <w:rsid w:val="0002240A"/>
    <w:rsid w:val="0002635F"/>
    <w:rsid w:val="00032420"/>
    <w:rsid w:val="00044909"/>
    <w:rsid w:val="000504F1"/>
    <w:rsid w:val="0005368C"/>
    <w:rsid w:val="0008042D"/>
    <w:rsid w:val="00086571"/>
    <w:rsid w:val="000916F6"/>
    <w:rsid w:val="000D26F4"/>
    <w:rsid w:val="000E7914"/>
    <w:rsid w:val="000F1D7C"/>
    <w:rsid w:val="00123043"/>
    <w:rsid w:val="00145593"/>
    <w:rsid w:val="001836DF"/>
    <w:rsid w:val="001A18E7"/>
    <w:rsid w:val="001A3E63"/>
    <w:rsid w:val="00206830"/>
    <w:rsid w:val="00241D7B"/>
    <w:rsid w:val="00243F93"/>
    <w:rsid w:val="00245BB1"/>
    <w:rsid w:val="0025186E"/>
    <w:rsid w:val="00265AC6"/>
    <w:rsid w:val="002660DA"/>
    <w:rsid w:val="002909E1"/>
    <w:rsid w:val="002A7C46"/>
    <w:rsid w:val="002C4FBE"/>
    <w:rsid w:val="00305C43"/>
    <w:rsid w:val="00310007"/>
    <w:rsid w:val="003373F8"/>
    <w:rsid w:val="00360422"/>
    <w:rsid w:val="00382760"/>
    <w:rsid w:val="00386C8C"/>
    <w:rsid w:val="003D206A"/>
    <w:rsid w:val="003E20FC"/>
    <w:rsid w:val="003E23EA"/>
    <w:rsid w:val="0041201A"/>
    <w:rsid w:val="00422AF2"/>
    <w:rsid w:val="00461906"/>
    <w:rsid w:val="00490C71"/>
    <w:rsid w:val="004A2A5C"/>
    <w:rsid w:val="004E3F78"/>
    <w:rsid w:val="004F44D2"/>
    <w:rsid w:val="00516D56"/>
    <w:rsid w:val="0052363D"/>
    <w:rsid w:val="00525999"/>
    <w:rsid w:val="00566E84"/>
    <w:rsid w:val="0058070D"/>
    <w:rsid w:val="005A6702"/>
    <w:rsid w:val="005B7FB2"/>
    <w:rsid w:val="005F2A98"/>
    <w:rsid w:val="005F4865"/>
    <w:rsid w:val="00672EDC"/>
    <w:rsid w:val="00681084"/>
    <w:rsid w:val="006C72E7"/>
    <w:rsid w:val="006E2288"/>
    <w:rsid w:val="006F24A8"/>
    <w:rsid w:val="00745DB6"/>
    <w:rsid w:val="007B37A1"/>
    <w:rsid w:val="007B7374"/>
    <w:rsid w:val="007D0FA4"/>
    <w:rsid w:val="007E22AE"/>
    <w:rsid w:val="00821397"/>
    <w:rsid w:val="008603A4"/>
    <w:rsid w:val="008B0E86"/>
    <w:rsid w:val="008B204B"/>
    <w:rsid w:val="008B3DC4"/>
    <w:rsid w:val="008D5783"/>
    <w:rsid w:val="008D629D"/>
    <w:rsid w:val="008E45EC"/>
    <w:rsid w:val="008F7318"/>
    <w:rsid w:val="00916DFE"/>
    <w:rsid w:val="009439A8"/>
    <w:rsid w:val="00946E78"/>
    <w:rsid w:val="0095429D"/>
    <w:rsid w:val="00960F9A"/>
    <w:rsid w:val="009B39F5"/>
    <w:rsid w:val="009B5153"/>
    <w:rsid w:val="009D03DB"/>
    <w:rsid w:val="009E3FE2"/>
    <w:rsid w:val="009F56BE"/>
    <w:rsid w:val="00A05F79"/>
    <w:rsid w:val="00A179A4"/>
    <w:rsid w:val="00A5030E"/>
    <w:rsid w:val="00A81ABC"/>
    <w:rsid w:val="00AA0952"/>
    <w:rsid w:val="00AC37CE"/>
    <w:rsid w:val="00AC4961"/>
    <w:rsid w:val="00AE5F7B"/>
    <w:rsid w:val="00AF66EF"/>
    <w:rsid w:val="00B03FF6"/>
    <w:rsid w:val="00B16EB2"/>
    <w:rsid w:val="00B302B2"/>
    <w:rsid w:val="00B378AE"/>
    <w:rsid w:val="00B618FE"/>
    <w:rsid w:val="00B633B4"/>
    <w:rsid w:val="00B84158"/>
    <w:rsid w:val="00B85101"/>
    <w:rsid w:val="00BD6945"/>
    <w:rsid w:val="00BF10C5"/>
    <w:rsid w:val="00BF5C5D"/>
    <w:rsid w:val="00C0370B"/>
    <w:rsid w:val="00C53F75"/>
    <w:rsid w:val="00C94151"/>
    <w:rsid w:val="00C96014"/>
    <w:rsid w:val="00C972F7"/>
    <w:rsid w:val="00CC04B0"/>
    <w:rsid w:val="00CE2E13"/>
    <w:rsid w:val="00CE37A3"/>
    <w:rsid w:val="00D10C36"/>
    <w:rsid w:val="00D11CC7"/>
    <w:rsid w:val="00D11E9F"/>
    <w:rsid w:val="00D133FE"/>
    <w:rsid w:val="00D40656"/>
    <w:rsid w:val="00D70A01"/>
    <w:rsid w:val="00DA693E"/>
    <w:rsid w:val="00DB1CF9"/>
    <w:rsid w:val="00DD4B08"/>
    <w:rsid w:val="00E246CA"/>
    <w:rsid w:val="00E31B38"/>
    <w:rsid w:val="00E70781"/>
    <w:rsid w:val="00E804FF"/>
    <w:rsid w:val="00E86A0A"/>
    <w:rsid w:val="00E87B59"/>
    <w:rsid w:val="00EA692A"/>
    <w:rsid w:val="00EB2540"/>
    <w:rsid w:val="00EB3299"/>
    <w:rsid w:val="00F05984"/>
    <w:rsid w:val="00F14616"/>
    <w:rsid w:val="00F243CA"/>
    <w:rsid w:val="00F35D75"/>
    <w:rsid w:val="00F66E74"/>
    <w:rsid w:val="00F914F0"/>
    <w:rsid w:val="00FA35EB"/>
    <w:rsid w:val="00FB2028"/>
    <w:rsid w:val="00FD1C2B"/>
    <w:rsid w:val="00FD681B"/>
    <w:rsid w:val="00FE6B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32D9B"/>
  <w15:chartTrackingRefBased/>
  <w15:docId w15:val="{4A25023A-F06F-4336-A39E-188F2B5D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9"/>
    <w:pPr>
      <w:spacing w:after="0" w:line="288" w:lineRule="auto"/>
    </w:pPr>
    <w:rPr>
      <w:sz w:val="20"/>
      <w:lang w:val="en-GB"/>
    </w:rPr>
  </w:style>
  <w:style w:type="paragraph" w:styleId="Heading1">
    <w:name w:val="heading 1"/>
    <w:basedOn w:val="Normal"/>
    <w:next w:val="Normal"/>
    <w:link w:val="Heading1Char"/>
    <w:uiPriority w:val="9"/>
    <w:qFormat/>
    <w:rsid w:val="009E3FE2"/>
    <w:pPr>
      <w:keepNext/>
      <w:keepLines/>
      <w:spacing w:before="360" w:after="120" w:line="400" w:lineRule="atLeast"/>
      <w:outlineLvl w:val="0"/>
    </w:pPr>
    <w:rPr>
      <w:rFonts w:asciiTheme="majorHAnsi" w:eastAsiaTheme="majorEastAsia" w:hAnsiTheme="majorHAnsi" w:cstheme="majorBidi"/>
      <w:b/>
      <w:bCs/>
      <w:color w:val="000000"/>
      <w:sz w:val="36"/>
      <w:szCs w:val="28"/>
    </w:rPr>
  </w:style>
  <w:style w:type="paragraph" w:styleId="Heading2">
    <w:name w:val="heading 2"/>
    <w:basedOn w:val="Normal"/>
    <w:next w:val="Normal"/>
    <w:link w:val="Heading2Char"/>
    <w:uiPriority w:val="9"/>
    <w:qFormat/>
    <w:rsid w:val="009E3FE2"/>
    <w:pPr>
      <w:keepNext/>
      <w:keepLines/>
      <w:spacing w:before="360" w:after="120" w:line="320" w:lineRule="atLeast"/>
      <w:outlineLvl w:val="1"/>
    </w:pPr>
    <w:rPr>
      <w:rFonts w:asciiTheme="majorHAnsi" w:eastAsiaTheme="majorEastAsia" w:hAnsiTheme="majorHAnsi" w:cstheme="majorBidi"/>
      <w:b/>
      <w:bCs/>
      <w:color w:val="000000"/>
      <w:sz w:val="28"/>
      <w:szCs w:val="26"/>
    </w:rPr>
  </w:style>
  <w:style w:type="paragraph" w:styleId="Heading3">
    <w:name w:val="heading 3"/>
    <w:basedOn w:val="Normal"/>
    <w:next w:val="Normal"/>
    <w:link w:val="Heading3Char"/>
    <w:uiPriority w:val="9"/>
    <w:qFormat/>
    <w:rsid w:val="009E3FE2"/>
    <w:pPr>
      <w:keepNext/>
      <w:keepLines/>
      <w:spacing w:before="240" w:after="120" w:line="280" w:lineRule="atLeast"/>
      <w:outlineLvl w:val="2"/>
    </w:pPr>
    <w:rPr>
      <w:rFonts w:asciiTheme="majorHAnsi" w:eastAsiaTheme="majorEastAsia" w:hAnsiTheme="majorHAnsi" w:cstheme="majorBidi"/>
      <w:b/>
      <w:bCs/>
      <w:color w:val="000000"/>
      <w:sz w:val="24"/>
    </w:rPr>
  </w:style>
  <w:style w:type="paragraph" w:styleId="Heading4">
    <w:name w:val="heading 4"/>
    <w:basedOn w:val="Normal"/>
    <w:next w:val="Normal"/>
    <w:link w:val="Heading4Char"/>
    <w:uiPriority w:val="9"/>
    <w:qFormat/>
    <w:rsid w:val="009E3FE2"/>
    <w:pPr>
      <w:keepNext/>
      <w:keepLines/>
      <w:spacing w:before="240" w:after="120" w:line="260" w:lineRule="atLeast"/>
      <w:outlineLvl w:val="3"/>
    </w:pPr>
    <w:rPr>
      <w:rFonts w:asciiTheme="majorHAnsi" w:eastAsiaTheme="majorEastAsia" w:hAnsiTheme="majorHAnsi" w:cstheme="majorBidi"/>
      <w:bCs/>
      <w:iCs/>
      <w:color w:val="000000"/>
      <w:sz w:val="22"/>
      <w:u w:val="single"/>
    </w:rPr>
  </w:style>
  <w:style w:type="paragraph" w:styleId="Heading5">
    <w:name w:val="heading 5"/>
    <w:basedOn w:val="Normal"/>
    <w:next w:val="Normal"/>
    <w:link w:val="Heading5Char"/>
    <w:uiPriority w:val="9"/>
    <w:rsid w:val="00E804FF"/>
    <w:pPr>
      <w:keepNext/>
      <w:keepLines/>
      <w:spacing w:before="240" w:after="120" w:line="240" w:lineRule="atLeast"/>
      <w:outlineLvl w:val="4"/>
    </w:pPr>
    <w:rPr>
      <w:rFonts w:asciiTheme="majorHAnsi" w:eastAsiaTheme="majorEastAsia" w:hAnsiTheme="majorHAnsi" w:cstheme="majorBidi"/>
      <w:b/>
      <w:color w:val="000000"/>
    </w:rPr>
  </w:style>
  <w:style w:type="paragraph" w:styleId="Heading6">
    <w:name w:val="heading 6"/>
    <w:basedOn w:val="Normal"/>
    <w:next w:val="Normal"/>
    <w:link w:val="Heading6Char"/>
    <w:uiPriority w:val="9"/>
    <w:rsid w:val="00E804FF"/>
    <w:pPr>
      <w:keepNext/>
      <w:keepLines/>
      <w:spacing w:before="240" w:after="120" w:line="240" w:lineRule="atLeast"/>
      <w:outlineLvl w:val="5"/>
    </w:pPr>
    <w:rPr>
      <w:rFonts w:asciiTheme="majorHAnsi" w:eastAsiaTheme="majorEastAsia" w:hAnsiTheme="majorHAnsi" w:cstheme="majorBidi"/>
      <w:iCs/>
      <w:color w:val="000000"/>
    </w:rPr>
  </w:style>
  <w:style w:type="paragraph" w:styleId="Heading7">
    <w:name w:val="heading 7"/>
    <w:basedOn w:val="Normal"/>
    <w:next w:val="Normal"/>
    <w:link w:val="Heading7Char"/>
    <w:uiPriority w:val="9"/>
    <w:rsid w:val="00E804FF"/>
    <w:pPr>
      <w:keepNext/>
      <w:keepLines/>
      <w:spacing w:before="240" w:after="120" w:line="220" w:lineRule="atLeast"/>
      <w:outlineLvl w:val="6"/>
    </w:pPr>
    <w:rPr>
      <w:rFonts w:asciiTheme="majorHAnsi" w:eastAsiaTheme="majorEastAsia" w:hAnsiTheme="majorHAnsi" w:cstheme="majorBidi"/>
      <w:iCs/>
      <w:color w:val="000000"/>
      <w:sz w:val="18"/>
    </w:rPr>
  </w:style>
  <w:style w:type="paragraph" w:styleId="Heading8">
    <w:name w:val="heading 8"/>
    <w:basedOn w:val="Normal"/>
    <w:next w:val="Normal"/>
    <w:link w:val="Heading8Char"/>
    <w:uiPriority w:val="9"/>
    <w:rsid w:val="00BF10C5"/>
    <w:pPr>
      <w:keepNext/>
      <w:keepLines/>
      <w:spacing w:before="240" w:after="120" w:line="220" w:lineRule="atLeast"/>
      <w:outlineLvl w:val="7"/>
    </w:pPr>
    <w:rPr>
      <w:rFonts w:asciiTheme="majorHAnsi" w:eastAsiaTheme="majorEastAsia" w:hAnsiTheme="majorHAnsi" w:cstheme="majorBidi"/>
      <w:b/>
      <w:color w:val="000000"/>
      <w:sz w:val="18"/>
      <w:szCs w:val="20"/>
    </w:rPr>
  </w:style>
  <w:style w:type="paragraph" w:styleId="Heading9">
    <w:name w:val="heading 9"/>
    <w:basedOn w:val="Normal"/>
    <w:next w:val="Normal"/>
    <w:link w:val="Heading9Char"/>
    <w:uiPriority w:val="9"/>
    <w:rsid w:val="00E804FF"/>
    <w:pPr>
      <w:keepNext/>
      <w:keepLines/>
      <w:spacing w:before="240" w:after="120" w:line="220" w:lineRule="atLeast"/>
      <w:outlineLvl w:val="8"/>
    </w:pPr>
    <w:rPr>
      <w:rFonts w:asciiTheme="majorHAnsi" w:eastAsiaTheme="majorEastAsia" w:hAnsiTheme="majorHAnsi" w:cstheme="majorBidi"/>
      <w:iCs/>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3FE2"/>
    <w:rPr>
      <w:rFonts w:asciiTheme="majorHAnsi" w:eastAsiaTheme="majorEastAsia" w:hAnsiTheme="majorHAnsi" w:cstheme="majorBidi"/>
      <w:b/>
      <w:bCs/>
      <w:color w:val="000000"/>
      <w:sz w:val="28"/>
      <w:szCs w:val="26"/>
      <w:lang w:val="en-GB"/>
    </w:rPr>
  </w:style>
  <w:style w:type="character" w:customStyle="1" w:styleId="Heading3Char">
    <w:name w:val="Heading 3 Char"/>
    <w:basedOn w:val="DefaultParagraphFont"/>
    <w:link w:val="Heading3"/>
    <w:uiPriority w:val="9"/>
    <w:rsid w:val="009E3FE2"/>
    <w:rPr>
      <w:rFonts w:asciiTheme="majorHAnsi" w:eastAsiaTheme="majorEastAsia" w:hAnsiTheme="majorHAnsi" w:cstheme="majorBidi"/>
      <w:b/>
      <w:bCs/>
      <w:color w:val="000000"/>
      <w:sz w:val="24"/>
      <w:lang w:val="en-GB"/>
    </w:rPr>
  </w:style>
  <w:style w:type="character" w:customStyle="1" w:styleId="Heading4Char">
    <w:name w:val="Heading 4 Char"/>
    <w:basedOn w:val="DefaultParagraphFont"/>
    <w:link w:val="Heading4"/>
    <w:uiPriority w:val="9"/>
    <w:rsid w:val="009E3FE2"/>
    <w:rPr>
      <w:rFonts w:asciiTheme="majorHAnsi" w:eastAsiaTheme="majorEastAsia" w:hAnsiTheme="majorHAnsi" w:cstheme="majorBidi"/>
      <w:bCs/>
      <w:iCs/>
      <w:color w:val="000000"/>
      <w:u w:val="single"/>
      <w:lang w:val="en-GB"/>
    </w:rPr>
  </w:style>
  <w:style w:type="character" w:customStyle="1" w:styleId="Heading5Char">
    <w:name w:val="Heading 5 Char"/>
    <w:basedOn w:val="DefaultParagraphFont"/>
    <w:link w:val="Heading5"/>
    <w:uiPriority w:val="9"/>
    <w:rsid w:val="00E804FF"/>
    <w:rPr>
      <w:rFonts w:asciiTheme="majorHAnsi" w:eastAsiaTheme="majorEastAsia" w:hAnsiTheme="majorHAnsi" w:cstheme="majorBidi"/>
      <w:b/>
      <w:color w:val="000000"/>
      <w:sz w:val="20"/>
      <w:lang w:val="en-GB"/>
    </w:rPr>
  </w:style>
  <w:style w:type="character" w:customStyle="1" w:styleId="Heading6Char">
    <w:name w:val="Heading 6 Char"/>
    <w:basedOn w:val="DefaultParagraphFont"/>
    <w:link w:val="Heading6"/>
    <w:uiPriority w:val="9"/>
    <w:rsid w:val="00E804FF"/>
    <w:rPr>
      <w:rFonts w:asciiTheme="majorHAnsi" w:eastAsiaTheme="majorEastAsia" w:hAnsiTheme="majorHAnsi" w:cstheme="majorBidi"/>
      <w:iCs/>
      <w:color w:val="000000"/>
      <w:sz w:val="20"/>
      <w:lang w:val="en-GB"/>
    </w:rPr>
  </w:style>
  <w:style w:type="character" w:customStyle="1" w:styleId="Heading7Char">
    <w:name w:val="Heading 7 Char"/>
    <w:basedOn w:val="DefaultParagraphFont"/>
    <w:link w:val="Heading7"/>
    <w:uiPriority w:val="9"/>
    <w:rsid w:val="00E804FF"/>
    <w:rPr>
      <w:rFonts w:asciiTheme="majorHAnsi" w:eastAsiaTheme="majorEastAsia" w:hAnsiTheme="majorHAnsi" w:cstheme="majorBidi"/>
      <w:iCs/>
      <w:color w:val="000000"/>
      <w:sz w:val="18"/>
      <w:lang w:val="en-GB"/>
    </w:rPr>
  </w:style>
  <w:style w:type="character" w:customStyle="1" w:styleId="Heading8Char">
    <w:name w:val="Heading 8 Char"/>
    <w:basedOn w:val="DefaultParagraphFont"/>
    <w:link w:val="Heading8"/>
    <w:uiPriority w:val="9"/>
    <w:rsid w:val="00BF10C5"/>
    <w:rPr>
      <w:rFonts w:asciiTheme="majorHAnsi" w:eastAsiaTheme="majorEastAsia" w:hAnsiTheme="majorHAnsi" w:cstheme="majorBidi"/>
      <w:b/>
      <w:color w:val="000000"/>
      <w:sz w:val="18"/>
      <w:szCs w:val="20"/>
      <w:lang w:val="en-GB"/>
    </w:rPr>
  </w:style>
  <w:style w:type="character" w:customStyle="1" w:styleId="Heading9Char">
    <w:name w:val="Heading 9 Char"/>
    <w:basedOn w:val="DefaultParagraphFont"/>
    <w:link w:val="Heading9"/>
    <w:uiPriority w:val="9"/>
    <w:rsid w:val="00E804FF"/>
    <w:rPr>
      <w:rFonts w:asciiTheme="majorHAnsi" w:eastAsiaTheme="majorEastAsia" w:hAnsiTheme="majorHAnsi" w:cstheme="majorBidi"/>
      <w:iCs/>
      <w:color w:val="000000"/>
      <w:sz w:val="18"/>
      <w:szCs w:val="20"/>
      <w:lang w:val="en-GB"/>
    </w:rPr>
  </w:style>
  <w:style w:type="paragraph" w:styleId="Header">
    <w:name w:val="header"/>
    <w:basedOn w:val="Normal"/>
    <w:link w:val="HeaderChar"/>
    <w:uiPriority w:val="99"/>
    <w:unhideWhenUsed/>
    <w:rsid w:val="0052363D"/>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52363D"/>
    <w:rPr>
      <w:sz w:val="15"/>
      <w:lang w:val="en-GB"/>
    </w:rPr>
  </w:style>
  <w:style w:type="paragraph" w:styleId="Footer">
    <w:name w:val="footer"/>
    <w:basedOn w:val="Normal"/>
    <w:link w:val="FooterChar"/>
    <w:uiPriority w:val="99"/>
    <w:unhideWhenUsed/>
    <w:rsid w:val="00D10C36"/>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D10C36"/>
    <w:rPr>
      <w:sz w:val="15"/>
      <w:lang w:val="en-GB"/>
    </w:rPr>
  </w:style>
  <w:style w:type="paragraph" w:styleId="ListBullet">
    <w:name w:val="List Bullet"/>
    <w:basedOn w:val="Normal"/>
    <w:uiPriority w:val="99"/>
    <w:qFormat/>
    <w:rsid w:val="00FD1C2B"/>
    <w:pPr>
      <w:numPr>
        <w:numId w:val="1"/>
      </w:numPr>
      <w:contextualSpacing/>
    </w:pPr>
  </w:style>
  <w:style w:type="paragraph" w:styleId="BalloonText">
    <w:name w:val="Balloon Text"/>
    <w:basedOn w:val="Normal"/>
    <w:link w:val="BalloonTextChar"/>
    <w:uiPriority w:val="99"/>
    <w:semiHidden/>
    <w:unhideWhenUsed/>
    <w:rsid w:val="005236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63D"/>
    <w:rPr>
      <w:rFonts w:ascii="Tahoma" w:hAnsi="Tahoma" w:cs="Tahoma"/>
      <w:sz w:val="16"/>
      <w:szCs w:val="16"/>
      <w:lang w:val="en-GB"/>
    </w:rPr>
  </w:style>
  <w:style w:type="table" w:styleId="TableGrid">
    <w:name w:val="Table Grid"/>
    <w:basedOn w:val="TableNormal"/>
    <w:uiPriority w:val="59"/>
    <w:rsid w:val="0052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363D"/>
    <w:rPr>
      <w:color w:val="808080"/>
    </w:rPr>
  </w:style>
  <w:style w:type="character" w:customStyle="1" w:styleId="Heading1Char">
    <w:name w:val="Heading 1 Char"/>
    <w:basedOn w:val="DefaultParagraphFont"/>
    <w:link w:val="Heading1"/>
    <w:uiPriority w:val="9"/>
    <w:rsid w:val="009E3FE2"/>
    <w:rPr>
      <w:rFonts w:asciiTheme="majorHAnsi" w:eastAsiaTheme="majorEastAsia" w:hAnsiTheme="majorHAnsi" w:cstheme="majorBidi"/>
      <w:b/>
      <w:bCs/>
      <w:color w:val="000000"/>
      <w:sz w:val="36"/>
      <w:szCs w:val="28"/>
      <w:lang w:val="en-GB"/>
    </w:rPr>
  </w:style>
  <w:style w:type="paragraph" w:styleId="NoSpacing">
    <w:name w:val="No Spacing"/>
    <w:uiPriority w:val="1"/>
    <w:qFormat/>
    <w:rsid w:val="0052363D"/>
    <w:pPr>
      <w:spacing w:after="0" w:line="240" w:lineRule="auto"/>
    </w:pPr>
    <w:rPr>
      <w:lang w:val="en-GB"/>
    </w:rPr>
  </w:style>
  <w:style w:type="paragraph" w:styleId="Title">
    <w:name w:val="Title"/>
    <w:basedOn w:val="Normal"/>
    <w:next w:val="Normal"/>
    <w:link w:val="TitleChar"/>
    <w:uiPriority w:val="10"/>
    <w:qFormat/>
    <w:rsid w:val="002909E1"/>
    <w:pPr>
      <w:spacing w:before="480" w:after="300" w:line="240" w:lineRule="auto"/>
      <w:contextualSpacing/>
    </w:pPr>
    <w:rPr>
      <w:rFonts w:asciiTheme="majorHAnsi" w:eastAsiaTheme="majorEastAsia" w:hAnsiTheme="majorHAnsi" w:cstheme="majorBidi"/>
      <w:b/>
      <w:color w:val="000000"/>
      <w:spacing w:val="5"/>
      <w:kern w:val="28"/>
      <w:sz w:val="52"/>
      <w:szCs w:val="52"/>
    </w:rPr>
  </w:style>
  <w:style w:type="character" w:customStyle="1" w:styleId="TitleChar">
    <w:name w:val="Title Char"/>
    <w:basedOn w:val="DefaultParagraphFont"/>
    <w:link w:val="Title"/>
    <w:uiPriority w:val="10"/>
    <w:rsid w:val="002909E1"/>
    <w:rPr>
      <w:rFonts w:asciiTheme="majorHAnsi" w:eastAsiaTheme="majorEastAsia" w:hAnsiTheme="majorHAnsi" w:cstheme="majorBidi"/>
      <w:b/>
      <w:color w:val="000000"/>
      <w:spacing w:val="5"/>
      <w:kern w:val="28"/>
      <w:sz w:val="52"/>
      <w:szCs w:val="52"/>
      <w:lang w:val="en-GB"/>
    </w:rPr>
  </w:style>
  <w:style w:type="paragraph" w:styleId="Subtitle">
    <w:name w:val="Subtitle"/>
    <w:basedOn w:val="Normal"/>
    <w:next w:val="Normal"/>
    <w:link w:val="SubtitleChar"/>
    <w:uiPriority w:val="11"/>
    <w:semiHidden/>
    <w:qFormat/>
    <w:rsid w:val="002909E1"/>
    <w:pPr>
      <w:numPr>
        <w:ilvl w:val="1"/>
      </w:numPr>
      <w:spacing w:line="280" w:lineRule="atLeast"/>
    </w:pPr>
    <w:rPr>
      <w:rFonts w:asciiTheme="majorHAnsi" w:eastAsiaTheme="majorEastAsia" w:hAnsiTheme="majorHAnsi" w:cstheme="majorBidi"/>
      <w:b/>
      <w:iCs/>
      <w:color w:val="000000"/>
      <w:spacing w:val="15"/>
      <w:sz w:val="24"/>
      <w:szCs w:val="24"/>
    </w:rPr>
  </w:style>
  <w:style w:type="character" w:customStyle="1" w:styleId="SubtitleChar">
    <w:name w:val="Subtitle Char"/>
    <w:basedOn w:val="DefaultParagraphFont"/>
    <w:link w:val="Subtitle"/>
    <w:uiPriority w:val="11"/>
    <w:semiHidden/>
    <w:rsid w:val="00D40656"/>
    <w:rPr>
      <w:rFonts w:asciiTheme="majorHAnsi" w:eastAsiaTheme="majorEastAsia" w:hAnsiTheme="majorHAnsi" w:cstheme="majorBidi"/>
      <w:b/>
      <w:iCs/>
      <w:color w:val="000000"/>
      <w:spacing w:val="15"/>
      <w:sz w:val="24"/>
      <w:szCs w:val="24"/>
      <w:lang w:val="en-GB"/>
    </w:rPr>
  </w:style>
  <w:style w:type="paragraph" w:styleId="TOCHeading">
    <w:name w:val="TOC Heading"/>
    <w:basedOn w:val="Heading1"/>
    <w:next w:val="Normal"/>
    <w:uiPriority w:val="39"/>
    <w:unhideWhenUsed/>
    <w:rsid w:val="008B3DC4"/>
    <w:pPr>
      <w:outlineLvl w:val="9"/>
    </w:pPr>
    <w:rPr>
      <w:lang w:val="en-US" w:eastAsia="ja-JP"/>
    </w:rPr>
  </w:style>
  <w:style w:type="paragraph" w:styleId="TOC1">
    <w:name w:val="toc 1"/>
    <w:basedOn w:val="Normal"/>
    <w:next w:val="Normal"/>
    <w:uiPriority w:val="39"/>
    <w:rsid w:val="00F35D75"/>
    <w:pPr>
      <w:tabs>
        <w:tab w:val="right" w:leader="dot" w:pos="8165"/>
      </w:tabs>
      <w:spacing w:before="200" w:after="100" w:line="240" w:lineRule="auto"/>
    </w:pPr>
    <w:rPr>
      <w:b/>
    </w:rPr>
  </w:style>
  <w:style w:type="paragraph" w:styleId="TOC2">
    <w:name w:val="toc 2"/>
    <w:basedOn w:val="Normal"/>
    <w:next w:val="Normal"/>
    <w:uiPriority w:val="39"/>
    <w:rsid w:val="00F35D75"/>
    <w:pPr>
      <w:tabs>
        <w:tab w:val="right" w:leader="dot" w:pos="8165"/>
      </w:tabs>
      <w:spacing w:after="100" w:line="240" w:lineRule="auto"/>
    </w:pPr>
  </w:style>
  <w:style w:type="paragraph" w:styleId="TOC3">
    <w:name w:val="toc 3"/>
    <w:basedOn w:val="Normal"/>
    <w:next w:val="Normal"/>
    <w:uiPriority w:val="39"/>
    <w:rsid w:val="00AF66EF"/>
    <w:pPr>
      <w:tabs>
        <w:tab w:val="right" w:leader="dot" w:pos="8165"/>
      </w:tabs>
      <w:spacing w:after="100"/>
    </w:pPr>
  </w:style>
  <w:style w:type="character" w:styleId="Hyperlink">
    <w:name w:val="Hyperlink"/>
    <w:basedOn w:val="DefaultParagraphFont"/>
    <w:uiPriority w:val="99"/>
    <w:unhideWhenUsed/>
    <w:rsid w:val="008B3DC4"/>
    <w:rPr>
      <w:color w:val="0078C9" w:themeColor="hyperlink"/>
      <w:u w:val="single"/>
    </w:rPr>
  </w:style>
  <w:style w:type="paragraph" w:styleId="ListNumber">
    <w:name w:val="List Number"/>
    <w:basedOn w:val="Normal"/>
    <w:uiPriority w:val="99"/>
    <w:qFormat/>
    <w:rsid w:val="00D10C36"/>
    <w:pPr>
      <w:numPr>
        <w:numId w:val="6"/>
      </w:numPr>
      <w:contextualSpacing/>
    </w:pPr>
  </w:style>
  <w:style w:type="paragraph" w:styleId="FootnoteText">
    <w:name w:val="footnote text"/>
    <w:basedOn w:val="Normal"/>
    <w:link w:val="FootnoteTextChar"/>
    <w:uiPriority w:val="99"/>
    <w:semiHidden/>
    <w:unhideWhenUsed/>
    <w:rsid w:val="00D10C36"/>
    <w:pPr>
      <w:spacing w:line="240" w:lineRule="auto"/>
    </w:pPr>
    <w:rPr>
      <w:sz w:val="16"/>
      <w:szCs w:val="20"/>
    </w:rPr>
  </w:style>
  <w:style w:type="character" w:customStyle="1" w:styleId="FootnoteTextChar">
    <w:name w:val="Footnote Text Char"/>
    <w:basedOn w:val="DefaultParagraphFont"/>
    <w:link w:val="FootnoteText"/>
    <w:uiPriority w:val="99"/>
    <w:semiHidden/>
    <w:rsid w:val="00D10C36"/>
    <w:rPr>
      <w:sz w:val="16"/>
      <w:szCs w:val="20"/>
      <w:lang w:val="en-GB"/>
    </w:rPr>
  </w:style>
  <w:style w:type="character" w:styleId="FootnoteReference">
    <w:name w:val="footnote reference"/>
    <w:basedOn w:val="DefaultParagraphFont"/>
    <w:uiPriority w:val="99"/>
    <w:semiHidden/>
    <w:unhideWhenUsed/>
    <w:rsid w:val="00D10C36"/>
    <w:rPr>
      <w:vertAlign w:val="superscript"/>
    </w:rPr>
  </w:style>
  <w:style w:type="paragraph" w:styleId="Caption">
    <w:name w:val="caption"/>
    <w:basedOn w:val="Normal"/>
    <w:next w:val="Normal"/>
    <w:uiPriority w:val="35"/>
    <w:semiHidden/>
    <w:rsid w:val="00AC4961"/>
    <w:pPr>
      <w:spacing w:line="240" w:lineRule="auto"/>
    </w:pPr>
    <w:rPr>
      <w:bCs/>
      <w:color w:val="000000"/>
      <w:sz w:val="18"/>
      <w:szCs w:val="18"/>
    </w:rPr>
  </w:style>
  <w:style w:type="paragraph" w:customStyle="1" w:styleId="NumberedHeading1">
    <w:name w:val="Numbered Heading 1"/>
    <w:basedOn w:val="Heading1"/>
    <w:next w:val="Normal"/>
    <w:qFormat/>
    <w:rsid w:val="00DA693E"/>
    <w:pPr>
      <w:numPr>
        <w:numId w:val="11"/>
      </w:numPr>
    </w:pPr>
    <w:rPr>
      <w:lang w:val="en-US"/>
    </w:rPr>
  </w:style>
  <w:style w:type="paragraph" w:customStyle="1" w:styleId="NumberedHeading2">
    <w:name w:val="Numbered Heading 2"/>
    <w:basedOn w:val="Heading2"/>
    <w:next w:val="Normal"/>
    <w:qFormat/>
    <w:rsid w:val="00DA693E"/>
    <w:pPr>
      <w:numPr>
        <w:ilvl w:val="1"/>
        <w:numId w:val="11"/>
      </w:numPr>
    </w:pPr>
    <w:rPr>
      <w:lang w:val="en-US"/>
    </w:rPr>
  </w:style>
  <w:style w:type="paragraph" w:customStyle="1" w:styleId="NumberedHeading3">
    <w:name w:val="Numbered Heading 3"/>
    <w:basedOn w:val="Heading3"/>
    <w:next w:val="Normal"/>
    <w:qFormat/>
    <w:rsid w:val="00DA693E"/>
    <w:pPr>
      <w:numPr>
        <w:ilvl w:val="2"/>
        <w:numId w:val="11"/>
      </w:numPr>
    </w:pPr>
    <w:rPr>
      <w:lang w:val="en-US"/>
    </w:rPr>
  </w:style>
  <w:style w:type="paragraph" w:customStyle="1" w:styleId="NumberedHeading4">
    <w:name w:val="Numbered Heading 4"/>
    <w:basedOn w:val="Heading4"/>
    <w:next w:val="Normal"/>
    <w:qFormat/>
    <w:rsid w:val="00DA693E"/>
    <w:pPr>
      <w:numPr>
        <w:ilvl w:val="3"/>
        <w:numId w:val="11"/>
      </w:numPr>
    </w:pPr>
    <w:rPr>
      <w:lang w:val="en-US"/>
    </w:rPr>
  </w:style>
  <w:style w:type="paragraph" w:customStyle="1" w:styleId="NumberedHeading5">
    <w:name w:val="Numbered Heading 5"/>
    <w:basedOn w:val="Heading5"/>
    <w:next w:val="Normal"/>
    <w:rsid w:val="00DA693E"/>
    <w:pPr>
      <w:numPr>
        <w:ilvl w:val="4"/>
        <w:numId w:val="11"/>
      </w:numPr>
    </w:pPr>
    <w:rPr>
      <w:lang w:val="en-US"/>
    </w:rPr>
  </w:style>
  <w:style w:type="paragraph" w:customStyle="1" w:styleId="NumberedHeading6">
    <w:name w:val="Numbered Heading 6"/>
    <w:basedOn w:val="Heading6"/>
    <w:next w:val="Normal"/>
    <w:rsid w:val="00DA693E"/>
    <w:pPr>
      <w:numPr>
        <w:ilvl w:val="5"/>
        <w:numId w:val="11"/>
      </w:numPr>
    </w:pPr>
    <w:rPr>
      <w:lang w:val="en-US"/>
    </w:rPr>
  </w:style>
  <w:style w:type="paragraph" w:customStyle="1" w:styleId="NumberedHeading7">
    <w:name w:val="Numbered Heading 7"/>
    <w:basedOn w:val="Heading7"/>
    <w:next w:val="Normal"/>
    <w:rsid w:val="008E45EC"/>
    <w:pPr>
      <w:numPr>
        <w:ilvl w:val="6"/>
        <w:numId w:val="11"/>
      </w:numPr>
    </w:pPr>
  </w:style>
  <w:style w:type="paragraph" w:customStyle="1" w:styleId="NumberedHeading8">
    <w:name w:val="Numbered Heading 8"/>
    <w:basedOn w:val="Heading8"/>
    <w:next w:val="Normal"/>
    <w:rsid w:val="008E45EC"/>
    <w:pPr>
      <w:numPr>
        <w:ilvl w:val="7"/>
        <w:numId w:val="11"/>
      </w:numPr>
    </w:pPr>
  </w:style>
  <w:style w:type="paragraph" w:customStyle="1" w:styleId="NumberedHeading9">
    <w:name w:val="Numbered Heading 9"/>
    <w:basedOn w:val="Heading9"/>
    <w:next w:val="Normal"/>
    <w:rsid w:val="008E45EC"/>
    <w:pPr>
      <w:numPr>
        <w:ilvl w:val="8"/>
        <w:numId w:val="11"/>
      </w:numPr>
    </w:pPr>
  </w:style>
  <w:style w:type="paragraph" w:styleId="ListNumber2">
    <w:name w:val="List Number 2"/>
    <w:basedOn w:val="Normal"/>
    <w:uiPriority w:val="99"/>
    <w:rsid w:val="00AC4961"/>
    <w:pPr>
      <w:numPr>
        <w:ilvl w:val="1"/>
        <w:numId w:val="6"/>
      </w:numPr>
      <w:contextualSpacing/>
    </w:pPr>
  </w:style>
  <w:style w:type="paragraph" w:styleId="ListNumber3">
    <w:name w:val="List Number 3"/>
    <w:basedOn w:val="Normal"/>
    <w:uiPriority w:val="99"/>
    <w:rsid w:val="00AC4961"/>
    <w:pPr>
      <w:numPr>
        <w:ilvl w:val="2"/>
        <w:numId w:val="6"/>
      </w:numPr>
      <w:contextualSpacing/>
    </w:pPr>
  </w:style>
  <w:style w:type="paragraph" w:styleId="TOC4">
    <w:name w:val="toc 4"/>
    <w:basedOn w:val="Normal"/>
    <w:next w:val="Normal"/>
    <w:uiPriority w:val="39"/>
    <w:semiHidden/>
    <w:rsid w:val="00F35D75"/>
    <w:pPr>
      <w:tabs>
        <w:tab w:val="right" w:leader="dot" w:pos="8165"/>
      </w:tabs>
      <w:spacing w:after="100"/>
      <w:ind w:left="600"/>
    </w:pPr>
  </w:style>
  <w:style w:type="paragraph" w:styleId="ListParagraph">
    <w:name w:val="List Paragraph"/>
    <w:basedOn w:val="Normal"/>
    <w:uiPriority w:val="34"/>
    <w:semiHidden/>
    <w:rsid w:val="0008042D"/>
    <w:pPr>
      <w:ind w:left="720"/>
      <w:contextualSpacing/>
    </w:pPr>
  </w:style>
  <w:style w:type="paragraph" w:styleId="ListBullet2">
    <w:name w:val="List Bullet 2"/>
    <w:basedOn w:val="Normal"/>
    <w:uiPriority w:val="99"/>
    <w:rsid w:val="0008042D"/>
    <w:pPr>
      <w:numPr>
        <w:ilvl w:val="1"/>
        <w:numId w:val="1"/>
      </w:numPr>
      <w:contextualSpacing/>
    </w:pPr>
  </w:style>
  <w:style w:type="paragraph" w:styleId="ListBullet3">
    <w:name w:val="List Bullet 3"/>
    <w:basedOn w:val="Normal"/>
    <w:uiPriority w:val="99"/>
    <w:rsid w:val="0008042D"/>
    <w:pPr>
      <w:numPr>
        <w:ilvl w:val="2"/>
        <w:numId w:val="1"/>
      </w:numPr>
      <w:contextualSpacing/>
    </w:pPr>
  </w:style>
  <w:style w:type="paragraph" w:styleId="ListBullet4">
    <w:name w:val="List Bullet 4"/>
    <w:basedOn w:val="Normal"/>
    <w:uiPriority w:val="99"/>
    <w:rsid w:val="0008042D"/>
    <w:pPr>
      <w:numPr>
        <w:ilvl w:val="3"/>
        <w:numId w:val="1"/>
      </w:numPr>
      <w:contextualSpacing/>
    </w:pPr>
  </w:style>
  <w:style w:type="paragraph" w:styleId="ListBullet5">
    <w:name w:val="List Bullet 5"/>
    <w:basedOn w:val="Normal"/>
    <w:uiPriority w:val="99"/>
    <w:rsid w:val="0008042D"/>
    <w:pPr>
      <w:numPr>
        <w:ilvl w:val="4"/>
        <w:numId w:val="1"/>
      </w:numPr>
      <w:contextualSpacing/>
    </w:pPr>
  </w:style>
  <w:style w:type="paragraph" w:styleId="TOC5">
    <w:name w:val="toc 5"/>
    <w:basedOn w:val="Normal"/>
    <w:next w:val="Normal"/>
    <w:uiPriority w:val="39"/>
    <w:semiHidden/>
    <w:rsid w:val="00F35D75"/>
    <w:pPr>
      <w:tabs>
        <w:tab w:val="right" w:leader="dot" w:pos="8165"/>
      </w:tabs>
      <w:spacing w:after="100"/>
      <w:ind w:left="800"/>
    </w:pPr>
  </w:style>
  <w:style w:type="paragraph" w:styleId="TOC6">
    <w:name w:val="toc 6"/>
    <w:basedOn w:val="Normal"/>
    <w:next w:val="Normal"/>
    <w:uiPriority w:val="39"/>
    <w:semiHidden/>
    <w:rsid w:val="00F35D75"/>
    <w:pPr>
      <w:tabs>
        <w:tab w:val="right" w:leader="dot" w:pos="8165"/>
      </w:tabs>
      <w:spacing w:after="100"/>
      <w:ind w:left="1000"/>
    </w:pPr>
  </w:style>
  <w:style w:type="paragraph" w:styleId="TOC7">
    <w:name w:val="toc 7"/>
    <w:basedOn w:val="Normal"/>
    <w:next w:val="Normal"/>
    <w:uiPriority w:val="39"/>
    <w:semiHidden/>
    <w:rsid w:val="00F35D75"/>
    <w:pPr>
      <w:tabs>
        <w:tab w:val="right" w:leader="dot" w:pos="8165"/>
      </w:tabs>
      <w:spacing w:after="100"/>
      <w:ind w:left="1200"/>
    </w:pPr>
  </w:style>
  <w:style w:type="paragraph" w:styleId="TOC8">
    <w:name w:val="toc 8"/>
    <w:basedOn w:val="Normal"/>
    <w:next w:val="Normal"/>
    <w:uiPriority w:val="39"/>
    <w:semiHidden/>
    <w:rsid w:val="00F35D75"/>
    <w:pPr>
      <w:tabs>
        <w:tab w:val="right" w:leader="dot" w:pos="8165"/>
      </w:tabs>
      <w:spacing w:after="100"/>
      <w:ind w:left="1400"/>
    </w:pPr>
  </w:style>
  <w:style w:type="paragraph" w:styleId="TOC9">
    <w:name w:val="toc 9"/>
    <w:basedOn w:val="Normal"/>
    <w:next w:val="Normal"/>
    <w:uiPriority w:val="39"/>
    <w:semiHidden/>
    <w:rsid w:val="00F35D75"/>
    <w:pPr>
      <w:tabs>
        <w:tab w:val="right" w:leader="dot" w:pos="8165"/>
      </w:tabs>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42A774-787B-4CF3-957B-82A811F7A87B}"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3470E223-F2F4-48B1-8BE0-8FE6866FE928}">
      <dgm:prSet phldrT="[Text]"/>
      <dgm:spPr>
        <a:xfrm rot="16200000">
          <a:off x="-996053" y="1555247"/>
          <a:ext cx="2325928" cy="243562"/>
        </a:xfrm>
        <a:prstGeom prst="rect">
          <a:avLst/>
        </a:prstGeom>
        <a:noFill/>
        <a:ln>
          <a:noFill/>
        </a:ln>
        <a:effectLst/>
      </dgm:spPr>
      <dgm:t>
        <a:bodyPr/>
        <a:lstStyle/>
        <a:p>
          <a:r>
            <a:rPr lang="en-US">
              <a:solidFill>
                <a:srgbClr val="000000">
                  <a:hueOff val="0"/>
                  <a:satOff val="0"/>
                  <a:lumOff val="0"/>
                  <a:alphaOff val="0"/>
                </a:srgbClr>
              </a:solidFill>
              <a:latin typeface="Arial"/>
              <a:ea typeface="+mn-ea"/>
              <a:cs typeface="+mn-cs"/>
            </a:rPr>
            <a:t>Stage 1 </a:t>
          </a:r>
        </a:p>
      </dgm:t>
    </dgm:pt>
    <dgm:pt modelId="{B32988AE-79D8-4B1E-A65E-7A7AE73A5297}" type="parTrans" cxnId="{00288F9D-1EC9-4E8E-A799-48ADE7598574}">
      <dgm:prSet/>
      <dgm:spPr/>
      <dgm:t>
        <a:bodyPr/>
        <a:lstStyle/>
        <a:p>
          <a:endParaRPr lang="en-US"/>
        </a:p>
      </dgm:t>
    </dgm:pt>
    <dgm:pt modelId="{E368B9B0-BB8E-4E86-A795-80DEBABDC10D}" type="sibTrans" cxnId="{00288F9D-1EC9-4E8E-A799-48ADE7598574}">
      <dgm:prSet/>
      <dgm:spPr/>
      <dgm:t>
        <a:bodyPr/>
        <a:lstStyle/>
        <a:p>
          <a:endParaRPr lang="en-US"/>
        </a:p>
      </dgm:t>
    </dgm:pt>
    <dgm:pt modelId="{1452A9F8-FFBE-4A19-9FDA-2CF507BC4BBC}">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b="1">
              <a:solidFill>
                <a:srgbClr val="FF0000"/>
              </a:solidFill>
              <a:latin typeface="Arial"/>
              <a:ea typeface="+mn-ea"/>
              <a:cs typeface="+mn-cs"/>
            </a:rPr>
            <a:t>PRE-START</a:t>
          </a:r>
        </a:p>
      </dgm:t>
    </dgm:pt>
    <dgm:pt modelId="{BE2E004C-569C-442C-9033-2AFA55DCA20C}" type="parTrans" cxnId="{AE597B36-78CD-463A-93E6-835436B8DF99}">
      <dgm:prSet/>
      <dgm:spPr/>
      <dgm:t>
        <a:bodyPr/>
        <a:lstStyle/>
        <a:p>
          <a:endParaRPr lang="en-US"/>
        </a:p>
      </dgm:t>
    </dgm:pt>
    <dgm:pt modelId="{7C7FCAC2-0D59-4CD9-9C15-F7518FDCC601}" type="sibTrans" cxnId="{AE597B36-78CD-463A-93E6-835436B8DF99}">
      <dgm:prSet/>
      <dgm:spPr/>
      <dgm:t>
        <a:bodyPr/>
        <a:lstStyle/>
        <a:p>
          <a:endParaRPr lang="en-US"/>
        </a:p>
      </dgm:t>
    </dgm:pt>
    <dgm:pt modelId="{E8BD5B4F-AAA6-492E-9DBF-8A8D41BCDC14}">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Agree supporting works</a:t>
          </a:r>
        </a:p>
      </dgm:t>
    </dgm:pt>
    <dgm:pt modelId="{C0892631-53F9-4F3F-9746-ED324010F47E}" type="parTrans" cxnId="{247E3AF4-68F0-4717-8A0F-6FDAF0D18B06}">
      <dgm:prSet/>
      <dgm:spPr/>
      <dgm:t>
        <a:bodyPr/>
        <a:lstStyle/>
        <a:p>
          <a:endParaRPr lang="en-US"/>
        </a:p>
      </dgm:t>
    </dgm:pt>
    <dgm:pt modelId="{DBEE0A90-3CF0-42DA-96A4-8187BB3B2C9B}" type="sibTrans" cxnId="{247E3AF4-68F0-4717-8A0F-6FDAF0D18B06}">
      <dgm:prSet/>
      <dgm:spPr/>
      <dgm:t>
        <a:bodyPr/>
        <a:lstStyle/>
        <a:p>
          <a:endParaRPr lang="en-US"/>
        </a:p>
      </dgm:t>
    </dgm:pt>
    <dgm:pt modelId="{F092307A-C32A-4D26-8700-92C03396B06D}">
      <dgm:prSet phldrT="[Text]"/>
      <dgm:spPr>
        <a:xfrm rot="16200000">
          <a:off x="808686" y="1543364"/>
          <a:ext cx="2325928" cy="243562"/>
        </a:xfrm>
        <a:prstGeom prst="rect">
          <a:avLst/>
        </a:prstGeom>
        <a:noFill/>
        <a:ln>
          <a:noFill/>
        </a:ln>
        <a:effectLst/>
      </dgm:spPr>
      <dgm:t>
        <a:bodyPr/>
        <a:lstStyle/>
        <a:p>
          <a:r>
            <a:rPr lang="en-US">
              <a:solidFill>
                <a:srgbClr val="000000">
                  <a:hueOff val="0"/>
                  <a:satOff val="0"/>
                  <a:lumOff val="0"/>
                  <a:alphaOff val="0"/>
                </a:srgbClr>
              </a:solidFill>
              <a:latin typeface="Arial"/>
              <a:ea typeface="+mn-ea"/>
              <a:cs typeface="+mn-cs"/>
            </a:rPr>
            <a:t>Stage 2 </a:t>
          </a:r>
        </a:p>
      </dgm:t>
    </dgm:pt>
    <dgm:pt modelId="{DD8E20D6-2359-459C-AC44-7DA23F05993B}" type="parTrans" cxnId="{1FCFBDDC-001A-490E-9148-D7355F0DF7AE}">
      <dgm:prSet/>
      <dgm:spPr/>
      <dgm:t>
        <a:bodyPr/>
        <a:lstStyle/>
        <a:p>
          <a:endParaRPr lang="en-US"/>
        </a:p>
      </dgm:t>
    </dgm:pt>
    <dgm:pt modelId="{C152E9CD-F190-48F8-9DBD-16E17E1D1550}" type="sibTrans" cxnId="{1FCFBDDC-001A-490E-9148-D7355F0DF7AE}">
      <dgm:prSet/>
      <dgm:spPr/>
      <dgm:t>
        <a:bodyPr/>
        <a:lstStyle/>
        <a:p>
          <a:endParaRPr lang="en-US"/>
        </a:p>
      </dgm:t>
    </dgm:pt>
    <dgm:pt modelId="{9A83DEB2-07A8-4F96-8535-AE2A2DAABFEF}">
      <dgm:prSet phldrT="[Text]"/>
      <dgm:spPr>
        <a:xfrm>
          <a:off x="2093431" y="502181"/>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b="1">
              <a:solidFill>
                <a:srgbClr val="FFCB00"/>
              </a:solidFill>
              <a:latin typeface="Arial"/>
              <a:ea typeface="+mn-ea"/>
              <a:cs typeface="+mn-cs"/>
            </a:rPr>
            <a:t>WORK COMMENCES</a:t>
          </a:r>
        </a:p>
      </dgm:t>
    </dgm:pt>
    <dgm:pt modelId="{FE5574C6-E7C2-4518-A740-C9C2FE017495}" type="parTrans" cxnId="{F8F775D8-CB50-4368-8922-2C633AF1899E}">
      <dgm:prSet/>
      <dgm:spPr/>
      <dgm:t>
        <a:bodyPr/>
        <a:lstStyle/>
        <a:p>
          <a:endParaRPr lang="en-US"/>
        </a:p>
      </dgm:t>
    </dgm:pt>
    <dgm:pt modelId="{343401C4-DAE2-48AB-941C-9E97D90AF41B}" type="sibTrans" cxnId="{F8F775D8-CB50-4368-8922-2C633AF1899E}">
      <dgm:prSet/>
      <dgm:spPr/>
      <dgm:t>
        <a:bodyPr/>
        <a:lstStyle/>
        <a:p>
          <a:endParaRPr lang="en-US"/>
        </a:p>
      </dgm:t>
    </dgm:pt>
    <dgm:pt modelId="{8D7B8FB9-90A8-4FC2-904D-F96BB5D9CCAE}">
      <dgm:prSet phldrT="[Text]"/>
      <dgm:spPr>
        <a:xfrm>
          <a:off x="2093431" y="502181"/>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Hand over of work area to SU</a:t>
          </a:r>
        </a:p>
      </dgm:t>
    </dgm:pt>
    <dgm:pt modelId="{6864A4B6-371B-42F0-AA0A-914FECD9B31C}" type="parTrans" cxnId="{72E8FDE4-6970-4F9D-99FA-C7AAA5442A6B}">
      <dgm:prSet/>
      <dgm:spPr/>
      <dgm:t>
        <a:bodyPr/>
        <a:lstStyle/>
        <a:p>
          <a:endParaRPr lang="en-US"/>
        </a:p>
      </dgm:t>
    </dgm:pt>
    <dgm:pt modelId="{EA902B94-2203-49D8-879B-B5292F87930C}" type="sibTrans" cxnId="{72E8FDE4-6970-4F9D-99FA-C7AAA5442A6B}">
      <dgm:prSet/>
      <dgm:spPr/>
      <dgm:t>
        <a:bodyPr/>
        <a:lstStyle/>
        <a:p>
          <a:endParaRPr lang="en-US"/>
        </a:p>
      </dgm:t>
    </dgm:pt>
    <dgm:pt modelId="{702C491E-D5CD-4013-9063-588820531476}">
      <dgm:prSet phldrT="[Text]"/>
      <dgm:spPr>
        <a:xfrm rot="16200000">
          <a:off x="2599097" y="1540076"/>
          <a:ext cx="2325928" cy="243562"/>
        </a:xfrm>
        <a:prstGeom prst="rect">
          <a:avLst/>
        </a:prstGeom>
        <a:noFill/>
        <a:ln>
          <a:noFill/>
        </a:ln>
        <a:effectLst/>
      </dgm:spPr>
      <dgm:t>
        <a:bodyPr/>
        <a:lstStyle/>
        <a:p>
          <a:r>
            <a:rPr lang="en-US">
              <a:solidFill>
                <a:srgbClr val="000000">
                  <a:hueOff val="0"/>
                  <a:satOff val="0"/>
                  <a:lumOff val="0"/>
                  <a:alphaOff val="0"/>
                </a:srgbClr>
              </a:solidFill>
              <a:latin typeface="Arial"/>
              <a:ea typeface="+mn-ea"/>
              <a:cs typeface="+mn-cs"/>
            </a:rPr>
            <a:t>Stage 3 </a:t>
          </a:r>
        </a:p>
      </dgm:t>
    </dgm:pt>
    <dgm:pt modelId="{66565433-8858-46BA-82C3-F1510B6DEAFD}" type="parTrans" cxnId="{B8256F34-84F9-43AE-87B3-94F8A3C39E14}">
      <dgm:prSet/>
      <dgm:spPr/>
      <dgm:t>
        <a:bodyPr/>
        <a:lstStyle/>
        <a:p>
          <a:endParaRPr lang="en-US"/>
        </a:p>
      </dgm:t>
    </dgm:pt>
    <dgm:pt modelId="{0B85B133-3EEF-4BE3-9DCB-4FC33736E88C}" type="sibTrans" cxnId="{B8256F34-84F9-43AE-87B3-94F8A3C39E14}">
      <dgm:prSet/>
      <dgm:spPr/>
      <dgm:t>
        <a:bodyPr/>
        <a:lstStyle/>
        <a:p>
          <a:endParaRPr lang="en-US"/>
        </a:p>
      </dgm:t>
    </dgm:pt>
    <dgm:pt modelId="{2CDD639E-BB5C-4E0E-8060-5AE26196A746}">
      <dgm:prSet phldrT="[Text]"/>
      <dgm:spPr>
        <a:xfrm>
          <a:off x="3883842" y="498893"/>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b="1">
              <a:solidFill>
                <a:srgbClr val="77B800"/>
              </a:solidFill>
              <a:latin typeface="Arial"/>
              <a:ea typeface="+mn-ea"/>
              <a:cs typeface="+mn-cs"/>
            </a:rPr>
            <a:t>WORK COMPLETE</a:t>
          </a:r>
        </a:p>
      </dgm:t>
    </dgm:pt>
    <dgm:pt modelId="{F2D80E61-7BF9-44ED-A9E7-F1175B78DB5C}" type="parTrans" cxnId="{69808796-901C-4EA8-B595-C87E63BED460}">
      <dgm:prSet/>
      <dgm:spPr/>
      <dgm:t>
        <a:bodyPr/>
        <a:lstStyle/>
        <a:p>
          <a:endParaRPr lang="en-US"/>
        </a:p>
      </dgm:t>
    </dgm:pt>
    <dgm:pt modelId="{35A83199-85C8-4AD6-9130-1DA6BA655692}" type="sibTrans" cxnId="{69808796-901C-4EA8-B595-C87E63BED460}">
      <dgm:prSet/>
      <dgm:spPr/>
      <dgm:t>
        <a:bodyPr/>
        <a:lstStyle/>
        <a:p>
          <a:endParaRPr lang="en-US"/>
        </a:p>
      </dgm:t>
    </dgm:pt>
    <dgm:pt modelId="{C71F6018-0083-4165-9958-E2FCACCC1B28}">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Review but not approve RAMS</a:t>
          </a:r>
        </a:p>
      </dgm:t>
    </dgm:pt>
    <dgm:pt modelId="{EF256FB5-3070-4C84-9CCF-21C718FF9786}" type="parTrans" cxnId="{8E72739F-3AAE-4AEA-94D7-A0B54C78DB8A}">
      <dgm:prSet/>
      <dgm:spPr/>
      <dgm:t>
        <a:bodyPr/>
        <a:lstStyle/>
        <a:p>
          <a:endParaRPr lang="en-US"/>
        </a:p>
      </dgm:t>
    </dgm:pt>
    <dgm:pt modelId="{B51E08FB-01F9-43AA-935C-D14D68B7F448}" type="sibTrans" cxnId="{8E72739F-3AAE-4AEA-94D7-A0B54C78DB8A}">
      <dgm:prSet/>
      <dgm:spPr/>
      <dgm:t>
        <a:bodyPr/>
        <a:lstStyle/>
        <a:p>
          <a:endParaRPr lang="en-US"/>
        </a:p>
      </dgm:t>
    </dgm:pt>
    <dgm:pt modelId="{470B7BB0-34EA-4863-9435-E9E315B447E7}">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endParaRPr lang="en-US">
            <a:solidFill>
              <a:srgbClr val="BEB2A6"/>
            </a:solidFill>
            <a:latin typeface="Arial"/>
            <a:ea typeface="+mn-ea"/>
            <a:cs typeface="+mn-cs"/>
          </a:endParaRPr>
        </a:p>
      </dgm:t>
    </dgm:pt>
    <dgm:pt modelId="{5E563F84-934C-426B-8A2C-A6BCED523C6A}" type="parTrans" cxnId="{82728863-E327-4745-B96A-14554EEBAF7C}">
      <dgm:prSet/>
      <dgm:spPr/>
      <dgm:t>
        <a:bodyPr/>
        <a:lstStyle/>
        <a:p>
          <a:endParaRPr lang="en-US"/>
        </a:p>
      </dgm:t>
    </dgm:pt>
    <dgm:pt modelId="{34490428-081A-42DA-A20E-97F0D2C0437B}" type="sibTrans" cxnId="{82728863-E327-4745-B96A-14554EEBAF7C}">
      <dgm:prSet/>
      <dgm:spPr/>
      <dgm:t>
        <a:bodyPr/>
        <a:lstStyle/>
        <a:p>
          <a:endParaRPr lang="en-US"/>
        </a:p>
      </dgm:t>
    </dgm:pt>
    <dgm:pt modelId="{374380FF-7249-41DA-ACEE-109832F5A6BA}">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Agree location and extent of work area</a:t>
          </a:r>
        </a:p>
      </dgm:t>
    </dgm:pt>
    <dgm:pt modelId="{95A21635-2548-4B30-A341-15EE12464FC9}" type="parTrans" cxnId="{9F5EF2D6-5607-478D-A90C-4E2B200C7660}">
      <dgm:prSet/>
      <dgm:spPr/>
      <dgm:t>
        <a:bodyPr/>
        <a:lstStyle/>
        <a:p>
          <a:endParaRPr lang="en-US"/>
        </a:p>
      </dgm:t>
    </dgm:pt>
    <dgm:pt modelId="{BA160195-FC6D-4915-8E05-F9D3C1AEDC46}" type="sibTrans" cxnId="{9F5EF2D6-5607-478D-A90C-4E2B200C7660}">
      <dgm:prSet/>
      <dgm:spPr/>
      <dgm:t>
        <a:bodyPr/>
        <a:lstStyle/>
        <a:p>
          <a:endParaRPr lang="en-US"/>
        </a:p>
      </dgm:t>
    </dgm:pt>
    <dgm:pt modelId="{36404597-2F70-46D6-877B-80BFFCDEFD44}">
      <dgm:prSet phldrT="[Text]"/>
      <dgm:spPr>
        <a:xfrm>
          <a:off x="2093431" y="502181"/>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Checks to ensure work area is free of residual risk</a:t>
          </a:r>
        </a:p>
      </dgm:t>
    </dgm:pt>
    <dgm:pt modelId="{00CD0A3A-5929-4593-BB94-5AAA58E6ED46}" type="parTrans" cxnId="{937FB317-0213-494E-9E8D-867936684352}">
      <dgm:prSet/>
      <dgm:spPr/>
      <dgm:t>
        <a:bodyPr/>
        <a:lstStyle/>
        <a:p>
          <a:endParaRPr lang="en-US"/>
        </a:p>
      </dgm:t>
    </dgm:pt>
    <dgm:pt modelId="{40332B21-CB04-44C6-B483-E88066EEB0C8}" type="sibTrans" cxnId="{937FB317-0213-494E-9E8D-867936684352}">
      <dgm:prSet/>
      <dgm:spPr/>
      <dgm:t>
        <a:bodyPr/>
        <a:lstStyle/>
        <a:p>
          <a:endParaRPr lang="en-US"/>
        </a:p>
      </dgm:t>
    </dgm:pt>
    <dgm:pt modelId="{EE68216A-A155-47BA-8889-2DDB40CFE127}">
      <dgm:prSet phldrT="[Text]"/>
      <dgm:spPr>
        <a:xfrm>
          <a:off x="3883842" y="498893"/>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Upon completion of works SU/ RDP agree hand back</a:t>
          </a:r>
        </a:p>
      </dgm:t>
    </dgm:pt>
    <dgm:pt modelId="{B9AC6791-2826-42DB-B503-AD905A91198B}" type="parTrans" cxnId="{A652F9F6-D330-4A4D-ACAA-BEDE21479809}">
      <dgm:prSet/>
      <dgm:spPr/>
      <dgm:t>
        <a:bodyPr/>
        <a:lstStyle/>
        <a:p>
          <a:endParaRPr lang="en-US"/>
        </a:p>
      </dgm:t>
    </dgm:pt>
    <dgm:pt modelId="{66318CC7-1763-4B2D-A894-0C85F27DA009}" type="sibTrans" cxnId="{A652F9F6-D330-4A4D-ACAA-BEDE21479809}">
      <dgm:prSet/>
      <dgm:spPr/>
      <dgm:t>
        <a:bodyPr/>
        <a:lstStyle/>
        <a:p>
          <a:endParaRPr lang="en-US"/>
        </a:p>
      </dgm:t>
    </dgm:pt>
    <dgm:pt modelId="{04476DF1-B3DB-44DB-BF5F-4BF910CAB888}">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Confirm agreement for compliance with MOU</a:t>
          </a:r>
        </a:p>
      </dgm:t>
    </dgm:pt>
    <dgm:pt modelId="{95B86049-A9A8-432F-A049-DA62710A8290}" type="parTrans" cxnId="{1FBD8361-FE04-4F26-A38C-0968C9CEAFDB}">
      <dgm:prSet/>
      <dgm:spPr/>
      <dgm:t>
        <a:bodyPr/>
        <a:lstStyle/>
        <a:p>
          <a:endParaRPr lang="en-US"/>
        </a:p>
      </dgm:t>
    </dgm:pt>
    <dgm:pt modelId="{D5F4BA89-B590-4C13-8F5C-3C3D9DB59953}" type="sibTrans" cxnId="{1FBD8361-FE04-4F26-A38C-0968C9CEAFDB}">
      <dgm:prSet/>
      <dgm:spPr/>
      <dgm:t>
        <a:bodyPr/>
        <a:lstStyle/>
        <a:p>
          <a:endParaRPr lang="en-US"/>
        </a:p>
      </dgm:t>
    </dgm:pt>
    <dgm:pt modelId="{F3C71D6B-7D5C-4B02-B82B-96DC315C9180}">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Site induction and D&amp;A test</a:t>
          </a:r>
        </a:p>
      </dgm:t>
    </dgm:pt>
    <dgm:pt modelId="{A0751222-7DE7-41A1-ABD8-8790C624AE17}" type="parTrans" cxnId="{7A61EE97-925B-4F65-9353-CEDD385AADE5}">
      <dgm:prSet/>
      <dgm:spPr/>
      <dgm:t>
        <a:bodyPr/>
        <a:lstStyle/>
        <a:p>
          <a:endParaRPr lang="en-US"/>
        </a:p>
      </dgm:t>
    </dgm:pt>
    <dgm:pt modelId="{84902BEC-AA54-49D8-B97E-811C54B1F663}" type="sibTrans" cxnId="{7A61EE97-925B-4F65-9353-CEDD385AADE5}">
      <dgm:prSet/>
      <dgm:spPr/>
      <dgm:t>
        <a:bodyPr/>
        <a:lstStyle/>
        <a:p>
          <a:endParaRPr lang="en-US"/>
        </a:p>
      </dgm:t>
    </dgm:pt>
    <dgm:pt modelId="{11DB91F3-0F6C-495E-9639-9B5366D59837}">
      <dgm:prSet phldrT="[Text]"/>
      <dgm:spPr>
        <a:xfrm>
          <a:off x="2093431" y="502181"/>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r>
            <a:rPr lang="en-US">
              <a:solidFill>
                <a:srgbClr val="BEB2A6"/>
              </a:solidFill>
              <a:latin typeface="Arial"/>
              <a:ea typeface="+mn-ea"/>
              <a:cs typeface="+mn-cs"/>
            </a:rPr>
            <a:t>Checks during SU works</a:t>
          </a:r>
        </a:p>
      </dgm:t>
    </dgm:pt>
    <dgm:pt modelId="{CC59D177-B861-4A32-8B0C-8B9D5B7A2F84}" type="parTrans" cxnId="{C1AF8EE1-B455-482F-BAEC-CE8CE80347F7}">
      <dgm:prSet/>
      <dgm:spPr/>
      <dgm:t>
        <a:bodyPr/>
        <a:lstStyle/>
        <a:p>
          <a:endParaRPr lang="en-US"/>
        </a:p>
      </dgm:t>
    </dgm:pt>
    <dgm:pt modelId="{B3BC6669-FB18-45B4-8ABB-2AADC1583FB2}" type="sibTrans" cxnId="{C1AF8EE1-B455-482F-BAEC-CE8CE80347F7}">
      <dgm:prSet/>
      <dgm:spPr/>
      <dgm:t>
        <a:bodyPr/>
        <a:lstStyle/>
        <a:p>
          <a:endParaRPr lang="en-US"/>
        </a:p>
      </dgm:t>
    </dgm:pt>
    <dgm:pt modelId="{903C3C85-CCEB-49A1-A607-E477D7E5AC52}">
      <dgm:prSet phldrT="[Text]"/>
      <dgm: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endParaRPr lang="en-US" b="1">
            <a:solidFill>
              <a:srgbClr val="FF0000"/>
            </a:solidFill>
            <a:latin typeface="Arial"/>
            <a:ea typeface="+mn-ea"/>
            <a:cs typeface="+mn-cs"/>
          </a:endParaRPr>
        </a:p>
      </dgm:t>
    </dgm:pt>
    <dgm:pt modelId="{903C30F1-CDBB-49B1-B349-8F1E564ABAA8}" type="parTrans" cxnId="{17634975-AC81-47C1-BFB4-E5A461F6F512}">
      <dgm:prSet/>
      <dgm:spPr/>
      <dgm:t>
        <a:bodyPr/>
        <a:lstStyle/>
        <a:p>
          <a:endParaRPr lang="en-US"/>
        </a:p>
      </dgm:t>
    </dgm:pt>
    <dgm:pt modelId="{8C6BFA6C-4AA4-4C3D-992C-529AB3BBC654}" type="sibTrans" cxnId="{17634975-AC81-47C1-BFB4-E5A461F6F512}">
      <dgm:prSet/>
      <dgm:spPr/>
      <dgm:t>
        <a:bodyPr/>
        <a:lstStyle/>
        <a:p>
          <a:endParaRPr lang="en-US"/>
        </a:p>
      </dgm:t>
    </dgm:pt>
    <dgm:pt modelId="{6A267767-C9C5-4418-8866-44FEDB02F6BB}">
      <dgm:prSet phldrT="[Text]"/>
      <dgm:spPr>
        <a:xfrm>
          <a:off x="2093431" y="502181"/>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endParaRPr lang="en-US" b="1">
            <a:solidFill>
              <a:srgbClr val="FFCB00"/>
            </a:solidFill>
            <a:latin typeface="Arial"/>
            <a:ea typeface="+mn-ea"/>
            <a:cs typeface="+mn-cs"/>
          </a:endParaRPr>
        </a:p>
      </dgm:t>
    </dgm:pt>
    <dgm:pt modelId="{1AE72EAA-A01D-4724-8A3D-3F2302D61DE1}" type="parTrans" cxnId="{789303EB-5694-422F-A03F-4A201DF529C4}">
      <dgm:prSet/>
      <dgm:spPr/>
      <dgm:t>
        <a:bodyPr/>
        <a:lstStyle/>
        <a:p>
          <a:endParaRPr lang="en-US"/>
        </a:p>
      </dgm:t>
    </dgm:pt>
    <dgm:pt modelId="{2935CE25-3B08-4AB0-BC40-60E468C05D43}" type="sibTrans" cxnId="{789303EB-5694-422F-A03F-4A201DF529C4}">
      <dgm:prSet/>
      <dgm:spPr/>
      <dgm:t>
        <a:bodyPr/>
        <a:lstStyle/>
        <a:p>
          <a:endParaRPr lang="en-US"/>
        </a:p>
      </dgm:t>
    </dgm:pt>
    <dgm:pt modelId="{D39A9DE9-8396-47D7-A3A9-CA0B28A8F5A0}">
      <dgm:prSet phldrT="[Text]"/>
      <dgm:spPr>
        <a:xfrm>
          <a:off x="3883842" y="498893"/>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gm:spPr>
      <dgm:t>
        <a:bodyPr/>
        <a:lstStyle/>
        <a:p>
          <a:endParaRPr lang="en-US" b="1">
            <a:solidFill>
              <a:srgbClr val="77B800"/>
            </a:solidFill>
            <a:latin typeface="Arial"/>
            <a:ea typeface="+mn-ea"/>
            <a:cs typeface="+mn-cs"/>
          </a:endParaRPr>
        </a:p>
      </dgm:t>
    </dgm:pt>
    <dgm:pt modelId="{79ADC051-3CDB-4F27-B3CF-F830F52659DC}" type="parTrans" cxnId="{CFD9C9E7-ECAD-4A39-B713-671D1D806850}">
      <dgm:prSet/>
      <dgm:spPr/>
      <dgm:t>
        <a:bodyPr/>
        <a:lstStyle/>
        <a:p>
          <a:endParaRPr lang="en-US"/>
        </a:p>
      </dgm:t>
    </dgm:pt>
    <dgm:pt modelId="{628C9E21-EBED-4D54-81D7-81EADB48A20C}" type="sibTrans" cxnId="{CFD9C9E7-ECAD-4A39-B713-671D1D806850}">
      <dgm:prSet/>
      <dgm:spPr/>
      <dgm:t>
        <a:bodyPr/>
        <a:lstStyle/>
        <a:p>
          <a:endParaRPr lang="en-US"/>
        </a:p>
      </dgm:t>
    </dgm:pt>
    <dgm:pt modelId="{56856443-91D1-40BB-B665-7808707F0E6F}" type="pres">
      <dgm:prSet presAssocID="{F042A774-787B-4CF3-957B-82A811F7A87B}" presName="linearFlow" presStyleCnt="0">
        <dgm:presLayoutVars>
          <dgm:dir/>
          <dgm:animLvl val="lvl"/>
          <dgm:resizeHandles/>
        </dgm:presLayoutVars>
      </dgm:prSet>
      <dgm:spPr/>
      <dgm:t>
        <a:bodyPr/>
        <a:lstStyle/>
        <a:p>
          <a:endParaRPr lang="en-US"/>
        </a:p>
      </dgm:t>
    </dgm:pt>
    <dgm:pt modelId="{E33D51BE-2192-4A74-995E-79838391D108}" type="pres">
      <dgm:prSet presAssocID="{3470E223-F2F4-48B1-8BE0-8FE6866FE928}" presName="compositeNode" presStyleCnt="0">
        <dgm:presLayoutVars>
          <dgm:bulletEnabled val="1"/>
        </dgm:presLayoutVars>
      </dgm:prSet>
      <dgm:spPr/>
    </dgm:pt>
    <dgm:pt modelId="{5C6BAB62-F409-4DC7-BA5A-8D5ED8C08438}" type="pres">
      <dgm:prSet presAssocID="{3470E223-F2F4-48B1-8BE0-8FE6866FE928}" presName="image" presStyleLbl="fgImgPlace1" presStyleIdx="0" presStyleCnt="3" custScaleX="112491" custScaleY="120773"/>
      <dgm:spPr>
        <a:xfrm>
          <a:off x="14705" y="141966"/>
          <a:ext cx="547972" cy="588316"/>
        </a:xfrm>
        <a:prstGeom prst="rect">
          <a:avLst/>
        </a:prstGeom>
        <a:blipFill rotWithShape="1">
          <a:blip xmlns:r="http://schemas.openxmlformats.org/officeDocument/2006/relationships" r:embed="rId1"/>
          <a:stretch>
            <a:fillRect/>
          </a:stretch>
        </a:blipFill>
        <a:ln w="25400" cap="flat" cmpd="sng" algn="ctr">
          <a:solidFill>
            <a:srgbClr val="BEB2A6">
              <a:hueOff val="0"/>
              <a:satOff val="0"/>
              <a:lumOff val="0"/>
              <a:alphaOff val="0"/>
            </a:srgbClr>
          </a:solidFill>
          <a:prstDash val="solid"/>
        </a:ln>
        <a:effectLst/>
      </dgm:spPr>
      <dgm:t>
        <a:bodyPr/>
        <a:lstStyle/>
        <a:p>
          <a:endParaRPr lang="en-US"/>
        </a:p>
      </dgm:t>
    </dgm:pt>
    <dgm:pt modelId="{4DFCA1A6-2140-4542-9648-C04ECE764205}" type="pres">
      <dgm:prSet presAssocID="{3470E223-F2F4-48B1-8BE0-8FE6866FE928}" presName="childNode" presStyleLbl="node1" presStyleIdx="0" presStyleCnt="3">
        <dgm:presLayoutVars>
          <dgm:bulletEnabled val="1"/>
        </dgm:presLayoutVars>
      </dgm:prSet>
      <dgm:spPr/>
      <dgm:t>
        <a:bodyPr/>
        <a:lstStyle/>
        <a:p>
          <a:endParaRPr lang="en-US"/>
        </a:p>
      </dgm:t>
    </dgm:pt>
    <dgm:pt modelId="{80C67CA1-7DA9-4910-89ED-03468B97727D}" type="pres">
      <dgm:prSet presAssocID="{3470E223-F2F4-48B1-8BE0-8FE6866FE928}" presName="parentNode" presStyleLbl="revTx" presStyleIdx="0" presStyleCnt="3">
        <dgm:presLayoutVars>
          <dgm:chMax val="0"/>
          <dgm:bulletEnabled val="1"/>
        </dgm:presLayoutVars>
      </dgm:prSet>
      <dgm:spPr/>
      <dgm:t>
        <a:bodyPr/>
        <a:lstStyle/>
        <a:p>
          <a:endParaRPr lang="en-US"/>
        </a:p>
      </dgm:t>
    </dgm:pt>
    <dgm:pt modelId="{8190A362-12E2-4066-B536-FE5DA576C44B}" type="pres">
      <dgm:prSet presAssocID="{E368B9B0-BB8E-4E86-A795-80DEBABDC10D}" presName="sibTrans" presStyleCnt="0"/>
      <dgm:spPr/>
    </dgm:pt>
    <dgm:pt modelId="{1FEB868B-0E01-4C17-9965-120D56F9DFDD}" type="pres">
      <dgm:prSet presAssocID="{F092307A-C32A-4D26-8700-92C03396B06D}" presName="compositeNode" presStyleCnt="0">
        <dgm:presLayoutVars>
          <dgm:bulletEnabled val="1"/>
        </dgm:presLayoutVars>
      </dgm:prSet>
      <dgm:spPr/>
    </dgm:pt>
    <dgm:pt modelId="{84360163-AF39-475D-B1F5-A5CFEDA3CB10}" type="pres">
      <dgm:prSet presAssocID="{F092307A-C32A-4D26-8700-92C03396B06D}" presName="image" presStyleLbl="fgImgPlace1" presStyleIdx="1" presStyleCnt="3" custScaleX="114772" custScaleY="115894"/>
      <dgm:spPr>
        <a:xfrm>
          <a:off x="1813889" y="141966"/>
          <a:ext cx="559083" cy="564549"/>
        </a:xfrm>
        <a:prstGeom prst="rect">
          <a:avLst/>
        </a:prstGeom>
        <a:blipFill rotWithShape="1">
          <a:blip xmlns:r="http://schemas.openxmlformats.org/officeDocument/2006/relationships" r:embed="rId2"/>
          <a:stretch>
            <a:fillRect/>
          </a:stretch>
        </a:blipFill>
        <a:ln w="25400" cap="flat" cmpd="sng" algn="ctr">
          <a:solidFill>
            <a:srgbClr val="BEB2A6">
              <a:hueOff val="0"/>
              <a:satOff val="0"/>
              <a:lumOff val="0"/>
              <a:alphaOff val="0"/>
            </a:srgbClr>
          </a:solidFill>
          <a:prstDash val="solid"/>
        </a:ln>
        <a:effectLst/>
      </dgm:spPr>
      <dgm:t>
        <a:bodyPr/>
        <a:lstStyle/>
        <a:p>
          <a:endParaRPr lang="en-US"/>
        </a:p>
      </dgm:t>
    </dgm:pt>
    <dgm:pt modelId="{68EC9675-A7DF-44DB-A457-BD53EFE7EC06}" type="pres">
      <dgm:prSet presAssocID="{F092307A-C32A-4D26-8700-92C03396B06D}" presName="childNode" presStyleLbl="node1" presStyleIdx="1" presStyleCnt="3">
        <dgm:presLayoutVars>
          <dgm:bulletEnabled val="1"/>
        </dgm:presLayoutVars>
      </dgm:prSet>
      <dgm:spPr/>
      <dgm:t>
        <a:bodyPr/>
        <a:lstStyle/>
        <a:p>
          <a:endParaRPr lang="en-US"/>
        </a:p>
      </dgm:t>
    </dgm:pt>
    <dgm:pt modelId="{CC2EB363-C801-406A-B786-91888A94EA3C}" type="pres">
      <dgm:prSet presAssocID="{F092307A-C32A-4D26-8700-92C03396B06D}" presName="parentNode" presStyleLbl="revTx" presStyleIdx="1" presStyleCnt="3">
        <dgm:presLayoutVars>
          <dgm:chMax val="0"/>
          <dgm:bulletEnabled val="1"/>
        </dgm:presLayoutVars>
      </dgm:prSet>
      <dgm:spPr/>
      <dgm:t>
        <a:bodyPr/>
        <a:lstStyle/>
        <a:p>
          <a:endParaRPr lang="en-US"/>
        </a:p>
      </dgm:t>
    </dgm:pt>
    <dgm:pt modelId="{86ED5A32-B510-4E0F-BF7B-FD9ADA006840}" type="pres">
      <dgm:prSet presAssocID="{C152E9CD-F190-48F8-9DBD-16E17E1D1550}" presName="sibTrans" presStyleCnt="0"/>
      <dgm:spPr/>
    </dgm:pt>
    <dgm:pt modelId="{6B9F63C5-7B40-43F0-9EC4-DEE652CD62DC}" type="pres">
      <dgm:prSet presAssocID="{702C491E-D5CD-4013-9063-588820531476}" presName="compositeNode" presStyleCnt="0">
        <dgm:presLayoutVars>
          <dgm:bulletEnabled val="1"/>
        </dgm:presLayoutVars>
      </dgm:prSet>
      <dgm:spPr/>
    </dgm:pt>
    <dgm:pt modelId="{3A5AF818-9796-44BB-B8D1-5DD3CCB8FCBA}" type="pres">
      <dgm:prSet presAssocID="{702C491E-D5CD-4013-9063-588820531476}" presName="image" presStyleLbl="fgImgPlace1" presStyleIdx="2" presStyleCnt="3" custScaleX="108889" custScaleY="114544"/>
      <dgm:spPr>
        <a:xfrm>
          <a:off x="3618629" y="141966"/>
          <a:ext cx="530426" cy="557973"/>
        </a:xfrm>
        <a:prstGeom prst="rect">
          <a:avLst/>
        </a:prstGeom>
        <a:blipFill rotWithShape="1">
          <a:blip xmlns:r="http://schemas.openxmlformats.org/officeDocument/2006/relationships" r:embed="rId3"/>
          <a:stretch>
            <a:fillRect/>
          </a:stretch>
        </a:blipFill>
        <a:ln w="25400" cap="flat" cmpd="sng" algn="ctr">
          <a:solidFill>
            <a:srgbClr val="BEB2A6">
              <a:hueOff val="0"/>
              <a:satOff val="0"/>
              <a:lumOff val="0"/>
              <a:alphaOff val="0"/>
            </a:srgbClr>
          </a:solidFill>
          <a:prstDash val="solid"/>
        </a:ln>
        <a:effectLst/>
      </dgm:spPr>
      <dgm:t>
        <a:bodyPr/>
        <a:lstStyle/>
        <a:p>
          <a:endParaRPr lang="en-US"/>
        </a:p>
      </dgm:t>
    </dgm:pt>
    <dgm:pt modelId="{7587E567-A740-40EE-9753-41B09AE42F80}" type="pres">
      <dgm:prSet presAssocID="{702C491E-D5CD-4013-9063-588820531476}" presName="childNode" presStyleLbl="node1" presStyleIdx="2" presStyleCnt="3">
        <dgm:presLayoutVars>
          <dgm:bulletEnabled val="1"/>
        </dgm:presLayoutVars>
      </dgm:prSet>
      <dgm:spPr/>
      <dgm:t>
        <a:bodyPr/>
        <a:lstStyle/>
        <a:p>
          <a:endParaRPr lang="en-US"/>
        </a:p>
      </dgm:t>
    </dgm:pt>
    <dgm:pt modelId="{DC8489E7-D2FD-4E46-8215-121E00C7E7E9}" type="pres">
      <dgm:prSet presAssocID="{702C491E-D5CD-4013-9063-588820531476}" presName="parentNode" presStyleLbl="revTx" presStyleIdx="2" presStyleCnt="3">
        <dgm:presLayoutVars>
          <dgm:chMax val="0"/>
          <dgm:bulletEnabled val="1"/>
        </dgm:presLayoutVars>
      </dgm:prSet>
      <dgm:spPr/>
      <dgm:t>
        <a:bodyPr/>
        <a:lstStyle/>
        <a:p>
          <a:endParaRPr lang="en-US"/>
        </a:p>
      </dgm:t>
    </dgm:pt>
  </dgm:ptLst>
  <dgm:cxnLst>
    <dgm:cxn modelId="{76E7DF87-CFD2-4F56-88E5-170E4BCD81EB}" type="presOf" srcId="{F042A774-787B-4CF3-957B-82A811F7A87B}" destId="{56856443-91D1-40BB-B665-7808707F0E6F}" srcOrd="0" destOrd="0" presId="urn:microsoft.com/office/officeart/2005/8/layout/hList2"/>
    <dgm:cxn modelId="{A3A93F29-C860-4EB7-A00B-A4BA595F61F0}" type="presOf" srcId="{702C491E-D5CD-4013-9063-588820531476}" destId="{DC8489E7-D2FD-4E46-8215-121E00C7E7E9}" srcOrd="0" destOrd="0" presId="urn:microsoft.com/office/officeart/2005/8/layout/hList2"/>
    <dgm:cxn modelId="{A92AD996-280A-4C6B-9D56-D920C3DF4CE8}" type="presOf" srcId="{6A267767-C9C5-4418-8866-44FEDB02F6BB}" destId="{68EC9675-A7DF-44DB-A457-BD53EFE7EC06}" srcOrd="0" destOrd="0" presId="urn:microsoft.com/office/officeart/2005/8/layout/hList2"/>
    <dgm:cxn modelId="{AE597B36-78CD-463A-93E6-835436B8DF99}" srcId="{3470E223-F2F4-48B1-8BE0-8FE6866FE928}" destId="{1452A9F8-FFBE-4A19-9FDA-2CF507BC4BBC}" srcOrd="1" destOrd="0" parTransId="{BE2E004C-569C-442C-9033-2AFA55DCA20C}" sibTransId="{7C7FCAC2-0D59-4CD9-9C15-F7518FDCC601}"/>
    <dgm:cxn modelId="{9EE3E188-31DD-4FC0-AEAA-3E792B6424DF}" type="presOf" srcId="{1452A9F8-FFBE-4A19-9FDA-2CF507BC4BBC}" destId="{4DFCA1A6-2140-4542-9648-C04ECE764205}" srcOrd="0" destOrd="1" presId="urn:microsoft.com/office/officeart/2005/8/layout/hList2"/>
    <dgm:cxn modelId="{789303EB-5694-422F-A03F-4A201DF529C4}" srcId="{F092307A-C32A-4D26-8700-92C03396B06D}" destId="{6A267767-C9C5-4418-8866-44FEDB02F6BB}" srcOrd="0" destOrd="0" parTransId="{1AE72EAA-A01D-4724-8A3D-3F2302D61DE1}" sibTransId="{2935CE25-3B08-4AB0-BC40-60E468C05D43}"/>
    <dgm:cxn modelId="{00288F9D-1EC9-4E8E-A799-48ADE7598574}" srcId="{F042A774-787B-4CF3-957B-82A811F7A87B}" destId="{3470E223-F2F4-48B1-8BE0-8FE6866FE928}" srcOrd="0" destOrd="0" parTransId="{B32988AE-79D8-4B1E-A65E-7A7AE73A5297}" sibTransId="{E368B9B0-BB8E-4E86-A795-80DEBABDC10D}"/>
    <dgm:cxn modelId="{CFD9C9E7-ECAD-4A39-B713-671D1D806850}" srcId="{702C491E-D5CD-4013-9063-588820531476}" destId="{D39A9DE9-8396-47D7-A3A9-CA0B28A8F5A0}" srcOrd="0" destOrd="0" parTransId="{79ADC051-3CDB-4F27-B3CF-F830F52659DC}" sibTransId="{628C9E21-EBED-4D54-81D7-81EADB48A20C}"/>
    <dgm:cxn modelId="{138D3616-5A7E-46E3-A99D-055C83839B9C}" type="presOf" srcId="{04476DF1-B3DB-44DB-BF5F-4BF910CAB888}" destId="{4DFCA1A6-2140-4542-9648-C04ECE764205}" srcOrd="0" destOrd="4" presId="urn:microsoft.com/office/officeart/2005/8/layout/hList2"/>
    <dgm:cxn modelId="{AED14F4F-403D-4FF5-A3E9-F8C498B537FB}" type="presOf" srcId="{11DB91F3-0F6C-495E-9639-9B5366D59837}" destId="{68EC9675-A7DF-44DB-A457-BD53EFE7EC06}" srcOrd="0" destOrd="4" presId="urn:microsoft.com/office/officeart/2005/8/layout/hList2"/>
    <dgm:cxn modelId="{9F5EF2D6-5607-478D-A90C-4E2B200C7660}" srcId="{3470E223-F2F4-48B1-8BE0-8FE6866FE928}" destId="{374380FF-7249-41DA-ACEE-109832F5A6BA}" srcOrd="2" destOrd="0" parTransId="{95A21635-2548-4B30-A341-15EE12464FC9}" sibTransId="{BA160195-FC6D-4915-8E05-F9D3C1AEDC46}"/>
    <dgm:cxn modelId="{A652F9F6-D330-4A4D-ACAA-BEDE21479809}" srcId="{702C491E-D5CD-4013-9063-588820531476}" destId="{EE68216A-A155-47BA-8889-2DDB40CFE127}" srcOrd="2" destOrd="0" parTransId="{B9AC6791-2826-42DB-B503-AD905A91198B}" sibTransId="{66318CC7-1763-4B2D-A894-0C85F27DA009}"/>
    <dgm:cxn modelId="{4BDBE855-EF61-430A-9B8B-F24B15B299CF}" type="presOf" srcId="{3470E223-F2F4-48B1-8BE0-8FE6866FE928}" destId="{80C67CA1-7DA9-4910-89ED-03468B97727D}" srcOrd="0" destOrd="0" presId="urn:microsoft.com/office/officeart/2005/8/layout/hList2"/>
    <dgm:cxn modelId="{17634975-AC81-47C1-BFB4-E5A461F6F512}" srcId="{3470E223-F2F4-48B1-8BE0-8FE6866FE928}" destId="{903C3C85-CCEB-49A1-A607-E477D7E5AC52}" srcOrd="0" destOrd="0" parTransId="{903C30F1-CDBB-49B1-B349-8F1E564ABAA8}" sibTransId="{8C6BFA6C-4AA4-4C3D-992C-529AB3BBC654}"/>
    <dgm:cxn modelId="{A3D2C025-9252-4BCA-BD68-766CA272E71A}" type="presOf" srcId="{E8BD5B4F-AAA6-492E-9DBF-8A8D41BCDC14}" destId="{4DFCA1A6-2140-4542-9648-C04ECE764205}" srcOrd="0" destOrd="3" presId="urn:microsoft.com/office/officeart/2005/8/layout/hList2"/>
    <dgm:cxn modelId="{247E3AF4-68F0-4717-8A0F-6FDAF0D18B06}" srcId="{3470E223-F2F4-48B1-8BE0-8FE6866FE928}" destId="{E8BD5B4F-AAA6-492E-9DBF-8A8D41BCDC14}" srcOrd="3" destOrd="0" parTransId="{C0892631-53F9-4F3F-9746-ED324010F47E}" sibTransId="{DBEE0A90-3CF0-42DA-96A4-8187BB3B2C9B}"/>
    <dgm:cxn modelId="{8E72739F-3AAE-4AEA-94D7-A0B54C78DB8A}" srcId="{3470E223-F2F4-48B1-8BE0-8FE6866FE928}" destId="{C71F6018-0083-4165-9958-E2FCACCC1B28}" srcOrd="5" destOrd="0" parTransId="{EF256FB5-3070-4C84-9CCF-21C718FF9786}" sibTransId="{B51E08FB-01F9-43AA-935C-D14D68B7F448}"/>
    <dgm:cxn modelId="{955BDDE4-98E0-451F-A1EF-00B5FA241976}" type="presOf" srcId="{2CDD639E-BB5C-4E0E-8060-5AE26196A746}" destId="{7587E567-A740-40EE-9753-41B09AE42F80}" srcOrd="0" destOrd="1" presId="urn:microsoft.com/office/officeart/2005/8/layout/hList2"/>
    <dgm:cxn modelId="{59E598B1-C016-458E-958E-BBBAAE2B566D}" type="presOf" srcId="{36404597-2F70-46D6-877B-80BFFCDEFD44}" destId="{68EC9675-A7DF-44DB-A457-BD53EFE7EC06}" srcOrd="0" destOrd="2" presId="urn:microsoft.com/office/officeart/2005/8/layout/hList2"/>
    <dgm:cxn modelId="{C1AF8EE1-B455-482F-BAEC-CE8CE80347F7}" srcId="{F092307A-C32A-4D26-8700-92C03396B06D}" destId="{11DB91F3-0F6C-495E-9639-9B5366D59837}" srcOrd="4" destOrd="0" parTransId="{CC59D177-B861-4A32-8B0C-8B9D5B7A2F84}" sibTransId="{B3BC6669-FB18-45B4-8ABB-2AADC1583FB2}"/>
    <dgm:cxn modelId="{01CCECDA-795A-4805-860B-3310874217C0}" type="presOf" srcId="{D39A9DE9-8396-47D7-A3A9-CA0B28A8F5A0}" destId="{7587E567-A740-40EE-9753-41B09AE42F80}" srcOrd="0" destOrd="0" presId="urn:microsoft.com/office/officeart/2005/8/layout/hList2"/>
    <dgm:cxn modelId="{01B86FB5-07CB-4E5A-B5EA-203CB6354D4C}" type="presOf" srcId="{903C3C85-CCEB-49A1-A607-E477D7E5AC52}" destId="{4DFCA1A6-2140-4542-9648-C04ECE764205}" srcOrd="0" destOrd="0" presId="urn:microsoft.com/office/officeart/2005/8/layout/hList2"/>
    <dgm:cxn modelId="{F8F775D8-CB50-4368-8922-2C633AF1899E}" srcId="{F092307A-C32A-4D26-8700-92C03396B06D}" destId="{9A83DEB2-07A8-4F96-8535-AE2A2DAABFEF}" srcOrd="1" destOrd="0" parTransId="{FE5574C6-E7C2-4518-A740-C9C2FE017495}" sibTransId="{343401C4-DAE2-48AB-941C-9E97D90AF41B}"/>
    <dgm:cxn modelId="{8D695D22-EC6F-44FE-9006-479E0CAED01B}" type="presOf" srcId="{8D7B8FB9-90A8-4FC2-904D-F96BB5D9CCAE}" destId="{68EC9675-A7DF-44DB-A457-BD53EFE7EC06}" srcOrd="0" destOrd="3" presId="urn:microsoft.com/office/officeart/2005/8/layout/hList2"/>
    <dgm:cxn modelId="{937FB317-0213-494E-9E8D-867936684352}" srcId="{F092307A-C32A-4D26-8700-92C03396B06D}" destId="{36404597-2F70-46D6-877B-80BFFCDEFD44}" srcOrd="2" destOrd="0" parTransId="{00CD0A3A-5929-4593-BB94-5AAA58E6ED46}" sibTransId="{40332B21-CB04-44C6-B483-E88066EEB0C8}"/>
    <dgm:cxn modelId="{F5773175-3ED1-44F3-9393-0ECE5D8BE93E}" type="presOf" srcId="{374380FF-7249-41DA-ACEE-109832F5A6BA}" destId="{4DFCA1A6-2140-4542-9648-C04ECE764205}" srcOrd="0" destOrd="2" presId="urn:microsoft.com/office/officeart/2005/8/layout/hList2"/>
    <dgm:cxn modelId="{1FCFBDDC-001A-490E-9148-D7355F0DF7AE}" srcId="{F042A774-787B-4CF3-957B-82A811F7A87B}" destId="{F092307A-C32A-4D26-8700-92C03396B06D}" srcOrd="1" destOrd="0" parTransId="{DD8E20D6-2359-459C-AC44-7DA23F05993B}" sibTransId="{C152E9CD-F190-48F8-9DBD-16E17E1D1550}"/>
    <dgm:cxn modelId="{69808796-901C-4EA8-B595-C87E63BED460}" srcId="{702C491E-D5CD-4013-9063-588820531476}" destId="{2CDD639E-BB5C-4E0E-8060-5AE26196A746}" srcOrd="1" destOrd="0" parTransId="{F2D80E61-7BF9-44ED-A9E7-F1175B78DB5C}" sibTransId="{35A83199-85C8-4AD6-9130-1DA6BA655692}"/>
    <dgm:cxn modelId="{EA7C5F83-1589-411D-A7CF-B244DBA14D8D}" type="presOf" srcId="{EE68216A-A155-47BA-8889-2DDB40CFE127}" destId="{7587E567-A740-40EE-9753-41B09AE42F80}" srcOrd="0" destOrd="2" presId="urn:microsoft.com/office/officeart/2005/8/layout/hList2"/>
    <dgm:cxn modelId="{72E8FDE4-6970-4F9D-99FA-C7AAA5442A6B}" srcId="{F092307A-C32A-4D26-8700-92C03396B06D}" destId="{8D7B8FB9-90A8-4FC2-904D-F96BB5D9CCAE}" srcOrd="3" destOrd="0" parTransId="{6864A4B6-371B-42F0-AA0A-914FECD9B31C}" sibTransId="{EA902B94-2203-49D8-879B-B5292F87930C}"/>
    <dgm:cxn modelId="{208A804E-6530-4EA3-8F0D-C0479B789F29}" type="presOf" srcId="{C71F6018-0083-4165-9958-E2FCACCC1B28}" destId="{4DFCA1A6-2140-4542-9648-C04ECE764205}" srcOrd="0" destOrd="5" presId="urn:microsoft.com/office/officeart/2005/8/layout/hList2"/>
    <dgm:cxn modelId="{7A61EE97-925B-4F65-9353-CEDD385AADE5}" srcId="{3470E223-F2F4-48B1-8BE0-8FE6866FE928}" destId="{F3C71D6B-7D5C-4B02-B82B-96DC315C9180}" srcOrd="6" destOrd="0" parTransId="{A0751222-7DE7-41A1-ABD8-8790C624AE17}" sibTransId="{84902BEC-AA54-49D8-B97E-811C54B1F663}"/>
    <dgm:cxn modelId="{B8256F34-84F9-43AE-87B3-94F8A3C39E14}" srcId="{F042A774-787B-4CF3-957B-82A811F7A87B}" destId="{702C491E-D5CD-4013-9063-588820531476}" srcOrd="2" destOrd="0" parTransId="{66565433-8858-46BA-82C3-F1510B6DEAFD}" sibTransId="{0B85B133-3EEF-4BE3-9DCB-4FC33736E88C}"/>
    <dgm:cxn modelId="{3A96DE65-A3F9-4AE0-955E-A00FD1A61D70}" type="presOf" srcId="{F092307A-C32A-4D26-8700-92C03396B06D}" destId="{CC2EB363-C801-406A-B786-91888A94EA3C}" srcOrd="0" destOrd="0" presId="urn:microsoft.com/office/officeart/2005/8/layout/hList2"/>
    <dgm:cxn modelId="{09DD7F9E-8303-444C-932E-173C33EC2E39}" type="presOf" srcId="{F3C71D6B-7D5C-4B02-B82B-96DC315C9180}" destId="{4DFCA1A6-2140-4542-9648-C04ECE764205}" srcOrd="0" destOrd="6" presId="urn:microsoft.com/office/officeart/2005/8/layout/hList2"/>
    <dgm:cxn modelId="{82728863-E327-4745-B96A-14554EEBAF7C}" srcId="{3470E223-F2F4-48B1-8BE0-8FE6866FE928}" destId="{470B7BB0-34EA-4863-9435-E9E315B447E7}" srcOrd="7" destOrd="0" parTransId="{5E563F84-934C-426B-8A2C-A6BCED523C6A}" sibTransId="{34490428-081A-42DA-A20E-97F0D2C0437B}"/>
    <dgm:cxn modelId="{1FBD8361-FE04-4F26-A38C-0968C9CEAFDB}" srcId="{3470E223-F2F4-48B1-8BE0-8FE6866FE928}" destId="{04476DF1-B3DB-44DB-BF5F-4BF910CAB888}" srcOrd="4" destOrd="0" parTransId="{95B86049-A9A8-432F-A049-DA62710A8290}" sibTransId="{D5F4BA89-B590-4C13-8F5C-3C3D9DB59953}"/>
    <dgm:cxn modelId="{61FE637E-B722-49B3-B928-07149A0DF6D0}" type="presOf" srcId="{470B7BB0-34EA-4863-9435-E9E315B447E7}" destId="{4DFCA1A6-2140-4542-9648-C04ECE764205}" srcOrd="0" destOrd="7" presId="urn:microsoft.com/office/officeart/2005/8/layout/hList2"/>
    <dgm:cxn modelId="{C9E60D6F-5FD2-4717-8E51-BBEC102E0CF3}" type="presOf" srcId="{9A83DEB2-07A8-4F96-8535-AE2A2DAABFEF}" destId="{68EC9675-A7DF-44DB-A457-BD53EFE7EC06}" srcOrd="0" destOrd="1" presId="urn:microsoft.com/office/officeart/2005/8/layout/hList2"/>
    <dgm:cxn modelId="{C66E7B35-B78E-46C2-B5A3-2F7FC279B1EB}" type="presParOf" srcId="{56856443-91D1-40BB-B665-7808707F0E6F}" destId="{E33D51BE-2192-4A74-995E-79838391D108}" srcOrd="0" destOrd="0" presId="urn:microsoft.com/office/officeart/2005/8/layout/hList2"/>
    <dgm:cxn modelId="{A5BD66CA-572C-4CA0-B9A0-6F054B4F1612}" type="presParOf" srcId="{E33D51BE-2192-4A74-995E-79838391D108}" destId="{5C6BAB62-F409-4DC7-BA5A-8D5ED8C08438}" srcOrd="0" destOrd="0" presId="urn:microsoft.com/office/officeart/2005/8/layout/hList2"/>
    <dgm:cxn modelId="{95148CF0-D14F-4A47-A94A-CF025B64FF44}" type="presParOf" srcId="{E33D51BE-2192-4A74-995E-79838391D108}" destId="{4DFCA1A6-2140-4542-9648-C04ECE764205}" srcOrd="1" destOrd="0" presId="urn:microsoft.com/office/officeart/2005/8/layout/hList2"/>
    <dgm:cxn modelId="{4C9BFB81-52BF-4C37-A531-C87806E5FFD1}" type="presParOf" srcId="{E33D51BE-2192-4A74-995E-79838391D108}" destId="{80C67CA1-7DA9-4910-89ED-03468B97727D}" srcOrd="2" destOrd="0" presId="urn:microsoft.com/office/officeart/2005/8/layout/hList2"/>
    <dgm:cxn modelId="{9A3EA9DD-9E1E-47F6-8A6F-232730CA2684}" type="presParOf" srcId="{56856443-91D1-40BB-B665-7808707F0E6F}" destId="{8190A362-12E2-4066-B536-FE5DA576C44B}" srcOrd="1" destOrd="0" presId="urn:microsoft.com/office/officeart/2005/8/layout/hList2"/>
    <dgm:cxn modelId="{0F2CBDAD-8EB9-47B0-97A7-1DB31F6B03CE}" type="presParOf" srcId="{56856443-91D1-40BB-B665-7808707F0E6F}" destId="{1FEB868B-0E01-4C17-9965-120D56F9DFDD}" srcOrd="2" destOrd="0" presId="urn:microsoft.com/office/officeart/2005/8/layout/hList2"/>
    <dgm:cxn modelId="{E06513D0-181B-4117-974D-8D755AB58C4C}" type="presParOf" srcId="{1FEB868B-0E01-4C17-9965-120D56F9DFDD}" destId="{84360163-AF39-475D-B1F5-A5CFEDA3CB10}" srcOrd="0" destOrd="0" presId="urn:microsoft.com/office/officeart/2005/8/layout/hList2"/>
    <dgm:cxn modelId="{E68679CB-D3B9-4EF0-98B5-8CFF39B2F9F3}" type="presParOf" srcId="{1FEB868B-0E01-4C17-9965-120D56F9DFDD}" destId="{68EC9675-A7DF-44DB-A457-BD53EFE7EC06}" srcOrd="1" destOrd="0" presId="urn:microsoft.com/office/officeart/2005/8/layout/hList2"/>
    <dgm:cxn modelId="{1C58F328-62A9-4073-9B38-ECD026C96727}" type="presParOf" srcId="{1FEB868B-0E01-4C17-9965-120D56F9DFDD}" destId="{CC2EB363-C801-406A-B786-91888A94EA3C}" srcOrd="2" destOrd="0" presId="urn:microsoft.com/office/officeart/2005/8/layout/hList2"/>
    <dgm:cxn modelId="{270A58AF-A151-407A-A9C0-FC3DC94EE7ED}" type="presParOf" srcId="{56856443-91D1-40BB-B665-7808707F0E6F}" destId="{86ED5A32-B510-4E0F-BF7B-FD9ADA006840}" srcOrd="3" destOrd="0" presId="urn:microsoft.com/office/officeart/2005/8/layout/hList2"/>
    <dgm:cxn modelId="{041A7B13-0515-4D60-B24E-70B0FA851E01}" type="presParOf" srcId="{56856443-91D1-40BB-B665-7808707F0E6F}" destId="{6B9F63C5-7B40-43F0-9EC4-DEE652CD62DC}" srcOrd="4" destOrd="0" presId="urn:microsoft.com/office/officeart/2005/8/layout/hList2"/>
    <dgm:cxn modelId="{51AF1C81-576D-42ED-8C2B-256808355AB3}" type="presParOf" srcId="{6B9F63C5-7B40-43F0-9EC4-DEE652CD62DC}" destId="{3A5AF818-9796-44BB-B8D1-5DD3CCB8FCBA}" srcOrd="0" destOrd="0" presId="urn:microsoft.com/office/officeart/2005/8/layout/hList2"/>
    <dgm:cxn modelId="{C6C49B21-A5AA-4E08-BC87-E13FE409D104}" type="presParOf" srcId="{6B9F63C5-7B40-43F0-9EC4-DEE652CD62DC}" destId="{7587E567-A740-40EE-9753-41B09AE42F80}" srcOrd="1" destOrd="0" presId="urn:microsoft.com/office/officeart/2005/8/layout/hList2"/>
    <dgm:cxn modelId="{C66AA728-FB54-4249-8F39-1BFAD3FD992E}" type="presParOf" srcId="{6B9F63C5-7B40-43F0-9EC4-DEE652CD62DC}" destId="{DC8489E7-D2FD-4E46-8215-121E00C7E7E9}" srcOrd="2" destOrd="0" presId="urn:microsoft.com/office/officeart/2005/8/layout/h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67CA1-7DA9-4910-89ED-03468B97727D}">
      <dsp:nvSpPr>
        <dsp:cNvPr id="0" name=""/>
        <dsp:cNvSpPr/>
      </dsp:nvSpPr>
      <dsp:spPr>
        <a:xfrm rot="16200000">
          <a:off x="-996053" y="1555247"/>
          <a:ext cx="2325928" cy="243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809" bIns="0" numCol="1" spcCol="1270" anchor="t" anchorCtr="0">
          <a:noAutofit/>
        </a:bodyPr>
        <a:lstStyle/>
        <a:p>
          <a:pPr lvl="0" algn="r" defTabSz="800100">
            <a:lnSpc>
              <a:spcPct val="90000"/>
            </a:lnSpc>
            <a:spcBef>
              <a:spcPct val="0"/>
            </a:spcBef>
            <a:spcAft>
              <a:spcPct val="35000"/>
            </a:spcAft>
          </a:pPr>
          <a:r>
            <a:rPr lang="en-US" sz="1800" kern="1200">
              <a:solidFill>
                <a:srgbClr val="000000">
                  <a:hueOff val="0"/>
                  <a:satOff val="0"/>
                  <a:lumOff val="0"/>
                  <a:alphaOff val="0"/>
                </a:srgbClr>
              </a:solidFill>
              <a:latin typeface="Arial"/>
              <a:ea typeface="+mn-ea"/>
              <a:cs typeface="+mn-cs"/>
            </a:rPr>
            <a:t>Stage 1 </a:t>
          </a:r>
        </a:p>
      </dsp:txBody>
      <dsp:txXfrm>
        <a:off x="-996053" y="1555247"/>
        <a:ext cx="2325928" cy="243562"/>
      </dsp:txXfrm>
    </dsp:sp>
    <dsp:sp modelId="{4DFCA1A6-2140-4542-9648-C04ECE764205}">
      <dsp:nvSpPr>
        <dsp:cNvPr id="0" name=""/>
        <dsp:cNvSpPr/>
      </dsp:nvSpPr>
      <dsp:spPr>
        <a:xfrm>
          <a:off x="288692" y="514064"/>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4809" rIns="85344" bIns="85344" numCol="1" spcCol="1270" anchor="t" anchorCtr="0">
          <a:noAutofit/>
        </a:bodyPr>
        <a:lstStyle/>
        <a:p>
          <a:pPr marL="57150" lvl="1" indent="-57150" algn="l" defTabSz="400050">
            <a:lnSpc>
              <a:spcPct val="90000"/>
            </a:lnSpc>
            <a:spcBef>
              <a:spcPct val="0"/>
            </a:spcBef>
            <a:spcAft>
              <a:spcPct val="15000"/>
            </a:spcAft>
            <a:buChar char="••"/>
          </a:pPr>
          <a:endParaRPr lang="en-US" sz="900" b="1" kern="1200">
            <a:solidFill>
              <a:srgbClr val="FF0000"/>
            </a:solidFill>
            <a:latin typeface="Arial"/>
            <a:ea typeface="+mn-ea"/>
            <a:cs typeface="+mn-cs"/>
          </a:endParaRPr>
        </a:p>
        <a:p>
          <a:pPr marL="57150" lvl="1" indent="-57150" algn="l" defTabSz="400050">
            <a:lnSpc>
              <a:spcPct val="90000"/>
            </a:lnSpc>
            <a:spcBef>
              <a:spcPct val="0"/>
            </a:spcBef>
            <a:spcAft>
              <a:spcPct val="15000"/>
            </a:spcAft>
            <a:buChar char="••"/>
          </a:pPr>
          <a:r>
            <a:rPr lang="en-US" sz="900" b="1" kern="1200">
              <a:solidFill>
                <a:srgbClr val="FF0000"/>
              </a:solidFill>
              <a:latin typeface="Arial"/>
              <a:ea typeface="+mn-ea"/>
              <a:cs typeface="+mn-cs"/>
            </a:rPr>
            <a:t>PRE-START</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Agree location and extent of work area</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Agree supporting works</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Confirm agreement for compliance with MOU</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Review but not approve RAMS</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Site induction and D&amp;A test</a:t>
          </a:r>
        </a:p>
        <a:p>
          <a:pPr marL="57150" lvl="1" indent="-57150" algn="l" defTabSz="400050">
            <a:lnSpc>
              <a:spcPct val="90000"/>
            </a:lnSpc>
            <a:spcBef>
              <a:spcPct val="0"/>
            </a:spcBef>
            <a:spcAft>
              <a:spcPct val="15000"/>
            </a:spcAft>
            <a:buChar char="••"/>
          </a:pPr>
          <a:endParaRPr lang="en-US" sz="900" kern="1200">
            <a:solidFill>
              <a:srgbClr val="BEB2A6"/>
            </a:solidFill>
            <a:latin typeface="Arial"/>
            <a:ea typeface="+mn-ea"/>
            <a:cs typeface="+mn-cs"/>
          </a:endParaRPr>
        </a:p>
      </dsp:txBody>
      <dsp:txXfrm>
        <a:off x="288692" y="514064"/>
        <a:ext cx="1213201" cy="2325928"/>
      </dsp:txXfrm>
    </dsp:sp>
    <dsp:sp modelId="{5C6BAB62-F409-4DC7-BA5A-8D5ED8C08438}">
      <dsp:nvSpPr>
        <dsp:cNvPr id="0" name=""/>
        <dsp:cNvSpPr/>
      </dsp:nvSpPr>
      <dsp:spPr>
        <a:xfrm>
          <a:off x="14705" y="141966"/>
          <a:ext cx="547972" cy="588316"/>
        </a:xfrm>
        <a:prstGeom prst="rect">
          <a:avLst/>
        </a:prstGeom>
        <a:blipFill rotWithShape="1">
          <a:blip xmlns:r="http://schemas.openxmlformats.org/officeDocument/2006/relationships" r:embed="rId1"/>
          <a:stretch>
            <a:fillRect/>
          </a:stretch>
        </a:blipFill>
        <a:ln w="25400" cap="flat" cmpd="sng" algn="ctr">
          <a:solidFill>
            <a:srgbClr val="BEB2A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C2EB363-C801-406A-B786-91888A94EA3C}">
      <dsp:nvSpPr>
        <dsp:cNvPr id="0" name=""/>
        <dsp:cNvSpPr/>
      </dsp:nvSpPr>
      <dsp:spPr>
        <a:xfrm rot="16200000">
          <a:off x="808686" y="1543364"/>
          <a:ext cx="2325928" cy="243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809" bIns="0" numCol="1" spcCol="1270" anchor="t" anchorCtr="0">
          <a:noAutofit/>
        </a:bodyPr>
        <a:lstStyle/>
        <a:p>
          <a:pPr lvl="0" algn="r" defTabSz="800100">
            <a:lnSpc>
              <a:spcPct val="90000"/>
            </a:lnSpc>
            <a:spcBef>
              <a:spcPct val="0"/>
            </a:spcBef>
            <a:spcAft>
              <a:spcPct val="35000"/>
            </a:spcAft>
          </a:pPr>
          <a:r>
            <a:rPr lang="en-US" sz="1800" kern="1200">
              <a:solidFill>
                <a:srgbClr val="000000">
                  <a:hueOff val="0"/>
                  <a:satOff val="0"/>
                  <a:lumOff val="0"/>
                  <a:alphaOff val="0"/>
                </a:srgbClr>
              </a:solidFill>
              <a:latin typeface="Arial"/>
              <a:ea typeface="+mn-ea"/>
              <a:cs typeface="+mn-cs"/>
            </a:rPr>
            <a:t>Stage 2 </a:t>
          </a:r>
        </a:p>
      </dsp:txBody>
      <dsp:txXfrm>
        <a:off x="808686" y="1543364"/>
        <a:ext cx="2325928" cy="243562"/>
      </dsp:txXfrm>
    </dsp:sp>
    <dsp:sp modelId="{68EC9675-A7DF-44DB-A457-BD53EFE7EC06}">
      <dsp:nvSpPr>
        <dsp:cNvPr id="0" name=""/>
        <dsp:cNvSpPr/>
      </dsp:nvSpPr>
      <dsp:spPr>
        <a:xfrm>
          <a:off x="2093431" y="502181"/>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4809" rIns="85344" bIns="85344" numCol="1" spcCol="1270" anchor="t" anchorCtr="0">
          <a:noAutofit/>
        </a:bodyPr>
        <a:lstStyle/>
        <a:p>
          <a:pPr marL="57150" lvl="1" indent="-57150" algn="l" defTabSz="400050">
            <a:lnSpc>
              <a:spcPct val="90000"/>
            </a:lnSpc>
            <a:spcBef>
              <a:spcPct val="0"/>
            </a:spcBef>
            <a:spcAft>
              <a:spcPct val="15000"/>
            </a:spcAft>
            <a:buChar char="••"/>
          </a:pPr>
          <a:endParaRPr lang="en-US" sz="900" b="1" kern="1200">
            <a:solidFill>
              <a:srgbClr val="FFCB00"/>
            </a:solidFill>
            <a:latin typeface="Arial"/>
            <a:ea typeface="+mn-ea"/>
            <a:cs typeface="+mn-cs"/>
          </a:endParaRPr>
        </a:p>
        <a:p>
          <a:pPr marL="57150" lvl="1" indent="-57150" algn="l" defTabSz="400050">
            <a:lnSpc>
              <a:spcPct val="90000"/>
            </a:lnSpc>
            <a:spcBef>
              <a:spcPct val="0"/>
            </a:spcBef>
            <a:spcAft>
              <a:spcPct val="15000"/>
            </a:spcAft>
            <a:buChar char="••"/>
          </a:pPr>
          <a:r>
            <a:rPr lang="en-US" sz="900" b="1" kern="1200">
              <a:solidFill>
                <a:srgbClr val="FFCB00"/>
              </a:solidFill>
              <a:latin typeface="Arial"/>
              <a:ea typeface="+mn-ea"/>
              <a:cs typeface="+mn-cs"/>
            </a:rPr>
            <a:t>WORK COMMENCES</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Checks to ensure work area is free of residual risk</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Hand over of work area to SU</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Checks during SU works</a:t>
          </a:r>
        </a:p>
      </dsp:txBody>
      <dsp:txXfrm>
        <a:off x="2093431" y="502181"/>
        <a:ext cx="1213201" cy="2325928"/>
      </dsp:txXfrm>
    </dsp:sp>
    <dsp:sp modelId="{84360163-AF39-475D-B1F5-A5CFEDA3CB10}">
      <dsp:nvSpPr>
        <dsp:cNvPr id="0" name=""/>
        <dsp:cNvSpPr/>
      </dsp:nvSpPr>
      <dsp:spPr>
        <a:xfrm>
          <a:off x="1813889" y="141966"/>
          <a:ext cx="559083" cy="564549"/>
        </a:xfrm>
        <a:prstGeom prst="rect">
          <a:avLst/>
        </a:prstGeom>
        <a:blipFill rotWithShape="1">
          <a:blip xmlns:r="http://schemas.openxmlformats.org/officeDocument/2006/relationships" r:embed="rId2"/>
          <a:stretch>
            <a:fillRect/>
          </a:stretch>
        </a:blipFill>
        <a:ln w="25400" cap="flat" cmpd="sng" algn="ctr">
          <a:solidFill>
            <a:srgbClr val="BEB2A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C8489E7-D2FD-4E46-8215-121E00C7E7E9}">
      <dsp:nvSpPr>
        <dsp:cNvPr id="0" name=""/>
        <dsp:cNvSpPr/>
      </dsp:nvSpPr>
      <dsp:spPr>
        <a:xfrm rot="16200000">
          <a:off x="2599097" y="1540076"/>
          <a:ext cx="2325928" cy="243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809" bIns="0" numCol="1" spcCol="1270" anchor="t" anchorCtr="0">
          <a:noAutofit/>
        </a:bodyPr>
        <a:lstStyle/>
        <a:p>
          <a:pPr lvl="0" algn="r" defTabSz="800100">
            <a:lnSpc>
              <a:spcPct val="90000"/>
            </a:lnSpc>
            <a:spcBef>
              <a:spcPct val="0"/>
            </a:spcBef>
            <a:spcAft>
              <a:spcPct val="35000"/>
            </a:spcAft>
          </a:pPr>
          <a:r>
            <a:rPr lang="en-US" sz="1800" kern="1200">
              <a:solidFill>
                <a:srgbClr val="000000">
                  <a:hueOff val="0"/>
                  <a:satOff val="0"/>
                  <a:lumOff val="0"/>
                  <a:alphaOff val="0"/>
                </a:srgbClr>
              </a:solidFill>
              <a:latin typeface="Arial"/>
              <a:ea typeface="+mn-ea"/>
              <a:cs typeface="+mn-cs"/>
            </a:rPr>
            <a:t>Stage 3 </a:t>
          </a:r>
        </a:p>
      </dsp:txBody>
      <dsp:txXfrm>
        <a:off x="2599097" y="1540076"/>
        <a:ext cx="2325928" cy="243562"/>
      </dsp:txXfrm>
    </dsp:sp>
    <dsp:sp modelId="{7587E567-A740-40EE-9753-41B09AE42F80}">
      <dsp:nvSpPr>
        <dsp:cNvPr id="0" name=""/>
        <dsp:cNvSpPr/>
      </dsp:nvSpPr>
      <dsp:spPr>
        <a:xfrm>
          <a:off x="3883842" y="498893"/>
          <a:ext cx="1213201" cy="2325928"/>
        </a:xfrm>
        <a:prstGeom prst="rect">
          <a:avLst/>
        </a:prstGeom>
        <a:solidFill>
          <a:srgbClr val="0078C9">
            <a:hueOff val="0"/>
            <a:satOff val="0"/>
            <a:lumOff val="0"/>
            <a:alphaOff val="0"/>
          </a:srgbClr>
        </a:solidFill>
        <a:ln w="25400" cap="flat" cmpd="sng" algn="ctr">
          <a:solidFill>
            <a:srgbClr val="BEB2A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4809" rIns="85344" bIns="85344" numCol="1" spcCol="1270" anchor="t" anchorCtr="0">
          <a:noAutofit/>
        </a:bodyPr>
        <a:lstStyle/>
        <a:p>
          <a:pPr marL="57150" lvl="1" indent="-57150" algn="l" defTabSz="400050">
            <a:lnSpc>
              <a:spcPct val="90000"/>
            </a:lnSpc>
            <a:spcBef>
              <a:spcPct val="0"/>
            </a:spcBef>
            <a:spcAft>
              <a:spcPct val="15000"/>
            </a:spcAft>
            <a:buChar char="••"/>
          </a:pPr>
          <a:endParaRPr lang="en-US" sz="900" b="1" kern="1200">
            <a:solidFill>
              <a:srgbClr val="77B800"/>
            </a:solidFill>
            <a:latin typeface="Arial"/>
            <a:ea typeface="+mn-ea"/>
            <a:cs typeface="+mn-cs"/>
          </a:endParaRPr>
        </a:p>
        <a:p>
          <a:pPr marL="57150" lvl="1" indent="-57150" algn="l" defTabSz="400050">
            <a:lnSpc>
              <a:spcPct val="90000"/>
            </a:lnSpc>
            <a:spcBef>
              <a:spcPct val="0"/>
            </a:spcBef>
            <a:spcAft>
              <a:spcPct val="15000"/>
            </a:spcAft>
            <a:buChar char="••"/>
          </a:pPr>
          <a:r>
            <a:rPr lang="en-US" sz="900" b="1" kern="1200">
              <a:solidFill>
                <a:srgbClr val="77B800"/>
              </a:solidFill>
              <a:latin typeface="Arial"/>
              <a:ea typeface="+mn-ea"/>
              <a:cs typeface="+mn-cs"/>
            </a:rPr>
            <a:t>WORK COMPLETE</a:t>
          </a:r>
        </a:p>
        <a:p>
          <a:pPr marL="57150" lvl="1" indent="-57150" algn="l" defTabSz="400050">
            <a:lnSpc>
              <a:spcPct val="90000"/>
            </a:lnSpc>
            <a:spcBef>
              <a:spcPct val="0"/>
            </a:spcBef>
            <a:spcAft>
              <a:spcPct val="15000"/>
            </a:spcAft>
            <a:buChar char="••"/>
          </a:pPr>
          <a:r>
            <a:rPr lang="en-US" sz="900" kern="1200">
              <a:solidFill>
                <a:srgbClr val="BEB2A6"/>
              </a:solidFill>
              <a:latin typeface="Arial"/>
              <a:ea typeface="+mn-ea"/>
              <a:cs typeface="+mn-cs"/>
            </a:rPr>
            <a:t>Upon completion of works SU/ RDP agree hand back</a:t>
          </a:r>
        </a:p>
      </dsp:txBody>
      <dsp:txXfrm>
        <a:off x="3883842" y="498893"/>
        <a:ext cx="1213201" cy="2325928"/>
      </dsp:txXfrm>
    </dsp:sp>
    <dsp:sp modelId="{3A5AF818-9796-44BB-B8D1-5DD3CCB8FCBA}">
      <dsp:nvSpPr>
        <dsp:cNvPr id="0" name=""/>
        <dsp:cNvSpPr/>
      </dsp:nvSpPr>
      <dsp:spPr>
        <a:xfrm>
          <a:off x="3618629" y="141966"/>
          <a:ext cx="530426" cy="557973"/>
        </a:xfrm>
        <a:prstGeom prst="rect">
          <a:avLst/>
        </a:prstGeom>
        <a:blipFill rotWithShape="1">
          <a:blip xmlns:r="http://schemas.openxmlformats.org/officeDocument/2006/relationships" r:embed="rId3"/>
          <a:stretch>
            <a:fillRect/>
          </a:stretch>
        </a:blipFill>
        <a:ln w="25400" cap="flat" cmpd="sng" algn="ctr">
          <a:solidFill>
            <a:srgbClr val="BEB2A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Skanska_Word">
      <a:dk1>
        <a:srgbClr val="000000"/>
      </a:dk1>
      <a:lt1>
        <a:srgbClr val="BEB2A6"/>
      </a:lt1>
      <a:dk2>
        <a:srgbClr val="C0DDEA"/>
      </a:dk2>
      <a:lt2>
        <a:srgbClr val="0078C9"/>
      </a:lt2>
      <a:accent1>
        <a:srgbClr val="0078C9"/>
      </a:accent1>
      <a:accent2>
        <a:srgbClr val="3D9B35"/>
      </a:accent2>
      <a:accent3>
        <a:srgbClr val="77B800"/>
      </a:accent3>
      <a:accent4>
        <a:srgbClr val="E57200"/>
      </a:accent4>
      <a:accent5>
        <a:srgbClr val="FFCB00"/>
      </a:accent5>
      <a:accent6>
        <a:srgbClr val="EADF00"/>
      </a:accent6>
      <a:hlink>
        <a:srgbClr val="0078C9"/>
      </a:hlink>
      <a:folHlink>
        <a:srgbClr val="919191"/>
      </a:folHlink>
    </a:clrScheme>
    <a:fontScheme name="Skansk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3B654-DF76-4659-A4CF-6C954712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Skanska UK PLC</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Brathwaite, Liz (SCE)</dc:creator>
  <cp:keywords/>
  <dc:description/>
  <cp:lastModifiedBy>Brathwaite, Liz (SCE)</cp:lastModifiedBy>
  <cp:revision>3</cp:revision>
  <cp:lastPrinted>2015-05-07T07:28:00Z</cp:lastPrinted>
  <dcterms:created xsi:type="dcterms:W3CDTF">2020-07-28T16:14:00Z</dcterms:created>
  <dcterms:modified xsi:type="dcterms:W3CDTF">2020-07-29T10:31:00Z</dcterms:modified>
</cp:coreProperties>
</file>