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D2" w:rsidRDefault="00BF3DD2" w:rsidP="00BF3DD2">
      <w:pPr>
        <w:pStyle w:val="Heading1"/>
        <w:rPr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951990" cy="793750"/>
            <wp:effectExtent l="0" t="0" r="0" b="6350"/>
            <wp:docPr id="1" name="Picture 3" descr="cid:image003.png@01D080DD.FACC11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3.png@01D080DD.FACC11B0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0D" w:rsidRPr="00BF3DD2" w:rsidRDefault="00DE660B" w:rsidP="00F4101F">
      <w:pPr>
        <w:pStyle w:val="Heading1"/>
        <w:jc w:val="center"/>
        <w:rPr>
          <w:b/>
          <w:u w:val="single"/>
        </w:rPr>
      </w:pPr>
      <w:r w:rsidRPr="00BF3DD2">
        <w:rPr>
          <w:b/>
          <w:u w:val="single"/>
        </w:rPr>
        <w:t>Campaign Guide</w:t>
      </w:r>
    </w:p>
    <w:p w:rsidR="00DE660B" w:rsidRDefault="00DE660B"/>
    <w:p w:rsidR="00DE660B" w:rsidRDefault="00F4101F">
      <w:r>
        <w:t>T</w:t>
      </w:r>
      <w:r w:rsidR="00DE660B">
        <w:t xml:space="preserve">his campaign has been developed </w:t>
      </w:r>
      <w:r>
        <w:t xml:space="preserve">by the delivery hub </w:t>
      </w:r>
      <w:r w:rsidR="00DE660B">
        <w:t>to assist your company comply with the latest information and industry best practices.  There will be posters, toolbox talks, video links, briefing sheets, portal articles</w:t>
      </w:r>
      <w:r>
        <w:t xml:space="preserve">, </w:t>
      </w:r>
      <w:proofErr w:type="spellStart"/>
      <w:r>
        <w:t>powerpoint</w:t>
      </w:r>
      <w:proofErr w:type="spellEnd"/>
      <w:r>
        <w:t xml:space="preserve"> presentations</w:t>
      </w:r>
      <w:r w:rsidR="00DE660B">
        <w:t xml:space="preserve"> and website news letters to assist</w:t>
      </w:r>
      <w:r>
        <w:t xml:space="preserve"> in the reduction of inadvertent service strikes through the following;</w:t>
      </w:r>
    </w:p>
    <w:p w:rsidR="00F4101F" w:rsidRPr="00BF3DD2" w:rsidRDefault="00F4101F" w:rsidP="00F4101F">
      <w:pPr>
        <w:pStyle w:val="NoSpacing"/>
        <w:rPr>
          <w:b/>
        </w:rPr>
      </w:pPr>
      <w:r w:rsidRPr="00BF3DD2">
        <w:rPr>
          <w:b/>
        </w:rPr>
        <w:t>Month One Planning</w:t>
      </w:r>
    </w:p>
    <w:p w:rsidR="00F4101F" w:rsidRDefault="00F4101F" w:rsidP="00F4101F">
      <w:pPr>
        <w:pStyle w:val="NoSpacing"/>
      </w:pPr>
    </w:p>
    <w:p w:rsidR="00F4101F" w:rsidRDefault="00F4101F" w:rsidP="00F4101F">
      <w:pPr>
        <w:pStyle w:val="NoSpacing"/>
      </w:pPr>
      <w:r>
        <w:t>Underground Service Avoidance ‘Raising the Bar Guidance 9’</w:t>
      </w:r>
    </w:p>
    <w:p w:rsidR="00F4101F" w:rsidRDefault="00F4101F" w:rsidP="00F4101F">
      <w:pPr>
        <w:pStyle w:val="NoSpacing"/>
      </w:pPr>
      <w:proofErr w:type="spellStart"/>
      <w:r>
        <w:t>Dougs</w:t>
      </w:r>
      <w:proofErr w:type="spellEnd"/>
      <w:r>
        <w:t xml:space="preserve"> Story - video and presentation</w:t>
      </w:r>
    </w:p>
    <w:p w:rsidR="00F4101F" w:rsidRDefault="00F4101F" w:rsidP="00F4101F">
      <w:pPr>
        <w:pStyle w:val="NoSpacing"/>
      </w:pPr>
      <w:r>
        <w:t>Responsibilities – Process Map</w:t>
      </w:r>
    </w:p>
    <w:p w:rsidR="00F4101F" w:rsidRDefault="00F4101F" w:rsidP="00F4101F">
      <w:pPr>
        <w:pStyle w:val="NoSpacing"/>
      </w:pPr>
      <w:r>
        <w:t>Decision Map – Design &amp; Planning to avoid services</w:t>
      </w:r>
    </w:p>
    <w:p w:rsidR="00F4101F" w:rsidRDefault="00F4101F" w:rsidP="00F4101F">
      <w:pPr>
        <w:pStyle w:val="NoSpacing"/>
      </w:pPr>
      <w:r>
        <w:t>Decision Map – Services in concrete</w:t>
      </w:r>
    </w:p>
    <w:p w:rsidR="00F4101F" w:rsidRDefault="00F4101F" w:rsidP="00F4101F">
      <w:pPr>
        <w:pStyle w:val="NoSpacing"/>
      </w:pPr>
      <w:r>
        <w:t>999 Emergency – Video</w:t>
      </w:r>
    </w:p>
    <w:p w:rsidR="00F4101F" w:rsidRDefault="00F4101F" w:rsidP="00F4101F">
      <w:pPr>
        <w:pStyle w:val="NoSpacing"/>
      </w:pPr>
      <w:r>
        <w:t>Poster 1 – Going Underground</w:t>
      </w:r>
    </w:p>
    <w:p w:rsidR="00F4101F" w:rsidRDefault="00F4101F" w:rsidP="00F4101F">
      <w:pPr>
        <w:pStyle w:val="NoSpacing"/>
      </w:pPr>
      <w:r>
        <w:t>Poster 2 – Going Underground</w:t>
      </w:r>
    </w:p>
    <w:p w:rsidR="00F4101F" w:rsidRDefault="00F4101F" w:rsidP="00F4101F">
      <w:pPr>
        <w:pStyle w:val="NoSpacing"/>
      </w:pPr>
      <w:r>
        <w:t>News Stories – Web links</w:t>
      </w:r>
    </w:p>
    <w:p w:rsidR="00F4101F" w:rsidRDefault="00F4101F" w:rsidP="00F4101F">
      <w:pPr>
        <w:pStyle w:val="NoSpacing"/>
      </w:pPr>
    </w:p>
    <w:p w:rsidR="00F4101F" w:rsidRPr="00BF3DD2" w:rsidRDefault="00F4101F" w:rsidP="00F4101F">
      <w:pPr>
        <w:pStyle w:val="NoSpacing"/>
        <w:rPr>
          <w:b/>
        </w:rPr>
      </w:pPr>
      <w:r w:rsidRPr="00BF3DD2">
        <w:rPr>
          <w:b/>
        </w:rPr>
        <w:t>Month Two Control</w:t>
      </w:r>
    </w:p>
    <w:p w:rsidR="00F4101F" w:rsidRDefault="00F4101F" w:rsidP="00F4101F">
      <w:pPr>
        <w:pStyle w:val="NoSpacing"/>
      </w:pPr>
    </w:p>
    <w:p w:rsidR="00F4101F" w:rsidRPr="00BF3DD2" w:rsidRDefault="00F4101F" w:rsidP="00F4101F">
      <w:pPr>
        <w:pStyle w:val="NoSpacing"/>
      </w:pPr>
      <w:r w:rsidRPr="00BF3DD2">
        <w:t>Look at and review Procedures</w:t>
      </w:r>
    </w:p>
    <w:p w:rsidR="00F4101F" w:rsidRPr="00BF3DD2" w:rsidRDefault="00F4101F" w:rsidP="00F4101F">
      <w:pPr>
        <w:pStyle w:val="NoSpacing"/>
      </w:pPr>
      <w:r w:rsidRPr="00BF3DD2">
        <w:t>Permits are they adequate and do they comply with legislation</w:t>
      </w:r>
    </w:p>
    <w:p w:rsidR="00F4101F" w:rsidRPr="00BF3DD2" w:rsidRDefault="00EC2BFC" w:rsidP="00F4101F">
      <w:pPr>
        <w:pStyle w:val="NoSpacing"/>
      </w:pPr>
      <w:r w:rsidRPr="00BF3DD2">
        <w:t>Use of inspection forms before issuing permits</w:t>
      </w:r>
    </w:p>
    <w:p w:rsidR="00EC2BFC" w:rsidRPr="00BF3DD2" w:rsidRDefault="00EC2BFC" w:rsidP="00F4101F">
      <w:pPr>
        <w:pStyle w:val="NoSpacing"/>
      </w:pPr>
      <w:r w:rsidRPr="00BF3DD2">
        <w:t>Training review</w:t>
      </w:r>
    </w:p>
    <w:p w:rsidR="00EC2BFC" w:rsidRPr="00BF3DD2" w:rsidRDefault="00EC2BFC" w:rsidP="00F4101F">
      <w:pPr>
        <w:pStyle w:val="NoSpacing"/>
      </w:pPr>
      <w:r w:rsidRPr="00BF3DD2">
        <w:t>Talk to the workforce, discuss procedures</w:t>
      </w:r>
    </w:p>
    <w:p w:rsidR="00EC2BFC" w:rsidRPr="00BF3DD2" w:rsidRDefault="00EC2BFC" w:rsidP="00F4101F">
      <w:pPr>
        <w:pStyle w:val="NoSpacing"/>
      </w:pPr>
      <w:r w:rsidRPr="00BF3DD2">
        <w:t xml:space="preserve">Marking of </w:t>
      </w:r>
      <w:proofErr w:type="spellStart"/>
      <w:r w:rsidRPr="00BF3DD2">
        <w:t>servies</w:t>
      </w:r>
      <w:proofErr w:type="spellEnd"/>
      <w:r w:rsidRPr="00BF3DD2">
        <w:t>, use of non-ferrous pins</w:t>
      </w:r>
    </w:p>
    <w:p w:rsidR="00EC2BFC" w:rsidRPr="00BF3DD2" w:rsidRDefault="00EC2BFC" w:rsidP="00F4101F">
      <w:pPr>
        <w:pStyle w:val="NoSpacing"/>
      </w:pPr>
      <w:r w:rsidRPr="00BF3DD2">
        <w:t xml:space="preserve">Use of tools for excavation, insulated tools – </w:t>
      </w:r>
      <w:proofErr w:type="spellStart"/>
      <w:r w:rsidRPr="00BF3DD2">
        <w:t>gps</w:t>
      </w:r>
      <w:proofErr w:type="spellEnd"/>
      <w:r w:rsidRPr="00BF3DD2">
        <w:t xml:space="preserve"> equipment </w:t>
      </w:r>
      <w:proofErr w:type="spellStart"/>
      <w:r w:rsidRPr="00BF3DD2">
        <w:t>eg</w:t>
      </w:r>
      <w:proofErr w:type="spellEnd"/>
      <w:r w:rsidRPr="00BF3DD2">
        <w:t xml:space="preserve"> EZ dig</w:t>
      </w:r>
    </w:p>
    <w:p w:rsidR="00EC2BFC" w:rsidRPr="00BF3DD2" w:rsidRDefault="00EC2BFC" w:rsidP="00F4101F">
      <w:pPr>
        <w:pStyle w:val="NoSpacing"/>
      </w:pPr>
    </w:p>
    <w:p w:rsidR="00EC2BFC" w:rsidRPr="00BF3DD2" w:rsidRDefault="00EC2BFC" w:rsidP="00F4101F">
      <w:pPr>
        <w:pStyle w:val="NoSpacing"/>
        <w:rPr>
          <w:b/>
        </w:rPr>
      </w:pPr>
      <w:r w:rsidRPr="00BF3DD2">
        <w:rPr>
          <w:b/>
        </w:rPr>
        <w:t>Month Three Monitor / Review</w:t>
      </w:r>
    </w:p>
    <w:p w:rsidR="00EC2BFC" w:rsidRDefault="00EC2BFC" w:rsidP="00F4101F">
      <w:pPr>
        <w:pStyle w:val="NoSpacing"/>
      </w:pPr>
    </w:p>
    <w:p w:rsidR="00EC2BFC" w:rsidRPr="00BF3DD2" w:rsidRDefault="00EC2BFC" w:rsidP="00F4101F">
      <w:pPr>
        <w:pStyle w:val="NoSpacing"/>
      </w:pPr>
      <w:r w:rsidRPr="00BF3DD2">
        <w:t>Gathering of best practice</w:t>
      </w:r>
    </w:p>
    <w:p w:rsidR="00EC2BFC" w:rsidRPr="00BF3DD2" w:rsidRDefault="00EC2BFC" w:rsidP="00F4101F">
      <w:pPr>
        <w:pStyle w:val="NoSpacing"/>
      </w:pPr>
      <w:r w:rsidRPr="00BF3DD2">
        <w:t>Review ‘Raising the Bar 9’</w:t>
      </w:r>
    </w:p>
    <w:p w:rsidR="00EC2BFC" w:rsidRPr="00BF3DD2" w:rsidRDefault="00EC2BFC" w:rsidP="00F4101F">
      <w:pPr>
        <w:pStyle w:val="NoSpacing"/>
      </w:pPr>
      <w:r w:rsidRPr="00BF3DD2">
        <w:t>Share best practice</w:t>
      </w:r>
    </w:p>
    <w:p w:rsidR="00EC2BFC" w:rsidRPr="00BF3DD2" w:rsidRDefault="00EC2BFC" w:rsidP="00F4101F">
      <w:pPr>
        <w:pStyle w:val="NoSpacing"/>
      </w:pPr>
      <w:r w:rsidRPr="00BF3DD2">
        <w:t>Correct referencing of newly installed services</w:t>
      </w:r>
    </w:p>
    <w:p w:rsidR="00EC2BFC" w:rsidRDefault="00EC2BFC" w:rsidP="00F4101F">
      <w:pPr>
        <w:pStyle w:val="NoSpacing"/>
      </w:pPr>
    </w:p>
    <w:p w:rsidR="00EC2BFC" w:rsidRDefault="00EC2BFC" w:rsidP="00F4101F">
      <w:pPr>
        <w:pStyle w:val="NoSpacing"/>
      </w:pPr>
      <w:r>
        <w:t xml:space="preserve">There are designated champions in each area, their role will be to </w:t>
      </w:r>
    </w:p>
    <w:p w:rsidR="00EC2BFC" w:rsidRDefault="00EC2BFC" w:rsidP="00EC2BFC">
      <w:pPr>
        <w:pStyle w:val="NoSpacing"/>
        <w:numPr>
          <w:ilvl w:val="0"/>
          <w:numId w:val="1"/>
        </w:numPr>
      </w:pPr>
      <w:r>
        <w:t>Promote best practice</w:t>
      </w:r>
    </w:p>
    <w:p w:rsidR="00EC2BFC" w:rsidRDefault="00EC2BFC" w:rsidP="00EC2BFC">
      <w:pPr>
        <w:pStyle w:val="NoSpacing"/>
        <w:numPr>
          <w:ilvl w:val="0"/>
          <w:numId w:val="1"/>
        </w:numPr>
      </w:pPr>
      <w:r>
        <w:t>Develop ‘lifesaver’ rule(s)</w:t>
      </w:r>
    </w:p>
    <w:p w:rsidR="00EC2BFC" w:rsidRDefault="00EC2BFC" w:rsidP="00EC2BFC">
      <w:pPr>
        <w:pStyle w:val="NoSpacing"/>
        <w:numPr>
          <w:ilvl w:val="0"/>
          <w:numId w:val="1"/>
        </w:numPr>
      </w:pPr>
      <w:r>
        <w:t>Become a focal point</w:t>
      </w:r>
    </w:p>
    <w:p w:rsidR="00EC2BFC" w:rsidRDefault="00EC2BFC" w:rsidP="00EC2BFC">
      <w:pPr>
        <w:pStyle w:val="NoSpacing"/>
        <w:numPr>
          <w:ilvl w:val="0"/>
          <w:numId w:val="1"/>
        </w:numPr>
      </w:pPr>
      <w:r>
        <w:t>Engage in relevant industry forums</w:t>
      </w:r>
    </w:p>
    <w:p w:rsidR="00EC2BFC" w:rsidRDefault="00EC2BFC" w:rsidP="00EC2BFC">
      <w:pPr>
        <w:pStyle w:val="NoSpacing"/>
        <w:numPr>
          <w:ilvl w:val="0"/>
          <w:numId w:val="1"/>
        </w:numPr>
      </w:pPr>
      <w:r>
        <w:t>Lead trials on projects</w:t>
      </w:r>
    </w:p>
    <w:p w:rsidR="00F4101F" w:rsidRDefault="00EC2BFC" w:rsidP="002B0677">
      <w:pPr>
        <w:pStyle w:val="NoSpacing"/>
        <w:numPr>
          <w:ilvl w:val="0"/>
          <w:numId w:val="1"/>
        </w:numPr>
      </w:pPr>
      <w:r>
        <w:t>Support the delivery of Highways England H&amp;S Aiming for Zero</w:t>
      </w:r>
      <w:bookmarkStart w:id="0" w:name="_GoBack"/>
      <w:bookmarkEnd w:id="0"/>
    </w:p>
    <w:sectPr w:rsidR="00F4101F" w:rsidSect="00EF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43C4"/>
    <w:multiLevelType w:val="hybridMultilevel"/>
    <w:tmpl w:val="D478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60B"/>
    <w:rsid w:val="0047439C"/>
    <w:rsid w:val="00614E0D"/>
    <w:rsid w:val="00BF3DD2"/>
    <w:rsid w:val="00DE660B"/>
    <w:rsid w:val="00EC2BFC"/>
    <w:rsid w:val="00EF1F71"/>
    <w:rsid w:val="00F4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71"/>
  </w:style>
  <w:style w:type="paragraph" w:styleId="Heading1">
    <w:name w:val="heading 1"/>
    <w:basedOn w:val="Normal"/>
    <w:next w:val="Normal"/>
    <w:link w:val="Heading1Char"/>
    <w:uiPriority w:val="9"/>
    <w:qFormat/>
    <w:rsid w:val="00F41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0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410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080DD.FACC11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Kennard, Neil (SCE)</dc:creator>
  <cp:lastModifiedBy>Sony</cp:lastModifiedBy>
  <cp:revision>2</cp:revision>
  <dcterms:created xsi:type="dcterms:W3CDTF">2015-05-06T16:03:00Z</dcterms:created>
  <dcterms:modified xsi:type="dcterms:W3CDTF">2015-05-06T16:03:00Z</dcterms:modified>
</cp:coreProperties>
</file>